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5F55" w14:textId="26CF60EC" w:rsidR="001370B8" w:rsidRDefault="001370B8" w:rsidP="001370B8">
      <w:pPr>
        <w:pStyle w:val="Heading1"/>
        <w:rPr>
          <w:sz w:val="28"/>
          <w:szCs w:val="28"/>
        </w:rPr>
      </w:pPr>
      <w:bookmarkStart w:id="0" w:name="_GoBack"/>
      <w:bookmarkEnd w:id="0"/>
      <w:r w:rsidRPr="001370B8">
        <w:rPr>
          <w:sz w:val="28"/>
          <w:szCs w:val="28"/>
        </w:rPr>
        <w:t>Performance Contracts and the DMV: The Future of School Accountability</w:t>
      </w:r>
    </w:p>
    <w:p w14:paraId="2C28EB2C" w14:textId="62A53B99" w:rsidR="00D91702" w:rsidRPr="00D91702" w:rsidRDefault="00D91702" w:rsidP="00D91702">
      <w:pPr>
        <w:rPr>
          <w:i/>
        </w:rPr>
      </w:pPr>
      <w:r w:rsidRPr="00D91702">
        <w:rPr>
          <w:i/>
        </w:rPr>
        <w:t>Dale Chu &amp; Eric Lerum</w:t>
      </w:r>
    </w:p>
    <w:p w14:paraId="750A54A5" w14:textId="77777777" w:rsidR="00EC5A7E" w:rsidRDefault="00EC5A7E" w:rsidP="00681F8A">
      <w:pPr>
        <w:pStyle w:val="Heading2"/>
        <w:jc w:val="both"/>
      </w:pPr>
      <w:r>
        <w:t>Design objectives</w:t>
      </w:r>
    </w:p>
    <w:p w14:paraId="057AC943" w14:textId="705FF63B" w:rsidR="0084789E" w:rsidRDefault="0084789E" w:rsidP="00681F8A">
      <w:pPr>
        <w:jc w:val="both"/>
      </w:pPr>
      <w:r>
        <w:t xml:space="preserve">Our state accountability framework is guided by three </w:t>
      </w:r>
      <w:r w:rsidR="000B0A4F">
        <w:t>core</w:t>
      </w:r>
      <w:r>
        <w:t xml:space="preserve"> principles:</w:t>
      </w:r>
    </w:p>
    <w:p w14:paraId="44A7B070" w14:textId="217480D1" w:rsidR="00EC5A7E" w:rsidRPr="00866CC5" w:rsidRDefault="00EC5A7E" w:rsidP="00136979">
      <w:pPr>
        <w:pStyle w:val="ListParagraph"/>
        <w:numPr>
          <w:ilvl w:val="0"/>
          <w:numId w:val="7"/>
        </w:numPr>
        <w:jc w:val="both"/>
        <w:rPr>
          <w:rStyle w:val="Heading3Char"/>
          <w:rFonts w:ascii="Calibri" w:eastAsiaTheme="minorEastAsia" w:hAnsi="Calibri" w:cstheme="minorBidi"/>
          <w:b w:val="0"/>
          <w:bCs w:val="0"/>
          <w:color w:val="auto"/>
        </w:rPr>
      </w:pPr>
      <w:r w:rsidRPr="00A55A93">
        <w:rPr>
          <w:rStyle w:val="Heading4Char"/>
        </w:rPr>
        <w:t>College may not be for everyone, but the option of college must be.</w:t>
      </w:r>
      <w:r>
        <w:rPr>
          <w:rStyle w:val="Heading3Char"/>
          <w:rFonts w:ascii="Calibri" w:eastAsiaTheme="minorEastAsia" w:hAnsi="Calibri" w:cstheme="minorBidi"/>
          <w:b w:val="0"/>
          <w:bCs w:val="0"/>
          <w:color w:val="auto"/>
        </w:rPr>
        <w:t xml:space="preserve"> </w:t>
      </w:r>
      <w:r w:rsidR="00966A0C">
        <w:t>Students</w:t>
      </w:r>
      <w:r w:rsidRPr="00EC5A7E">
        <w:t xml:space="preserve"> should be able to participate fully in society, pursue their dreams, and support their families. In the 21</w:t>
      </w:r>
      <w:r w:rsidRPr="00EC5A7E">
        <w:rPr>
          <w:vertAlign w:val="superscript"/>
        </w:rPr>
        <w:t>st</w:t>
      </w:r>
      <w:r w:rsidRPr="00EC5A7E">
        <w:t xml:space="preserve"> Century, that means every student must be prepared to succeed in college if she chooses. Choice is key here – by definition</w:t>
      </w:r>
      <w:r>
        <w:t>,</w:t>
      </w:r>
      <w:r w:rsidRPr="00EC5A7E">
        <w:t xml:space="preserve"> an education system that only prepares some students to succeed in college assigns other students to other roles in life, limiting their </w:t>
      </w:r>
      <w:r>
        <w:t xml:space="preserve">options </w:t>
      </w:r>
      <w:r w:rsidRPr="00EC5A7E">
        <w:t xml:space="preserve">and their chances of being successful. </w:t>
      </w:r>
      <w:r w:rsidR="00866CC5">
        <w:t>A student who chooses not to attend college should do so on her own volition rather than having that deci</w:t>
      </w:r>
      <w:r w:rsidR="00141D18">
        <w:t xml:space="preserve">sion thrust upon her due to </w:t>
      </w:r>
      <w:r w:rsidR="00842322">
        <w:t>a</w:t>
      </w:r>
      <w:r w:rsidR="00866CC5">
        <w:t xml:space="preserve"> lack of preparation</w:t>
      </w:r>
      <w:r w:rsidR="00141D18">
        <w:t xml:space="preserve"> and opportunity</w:t>
      </w:r>
      <w:r w:rsidR="00866CC5">
        <w:t xml:space="preserve">. </w:t>
      </w:r>
      <w:r w:rsidRPr="00EC5A7E">
        <w:t xml:space="preserve">Thus, while not every student </w:t>
      </w:r>
      <w:r w:rsidR="00A237B9">
        <w:t>may</w:t>
      </w:r>
      <w:r w:rsidR="00A237B9" w:rsidRPr="00EC5A7E">
        <w:t xml:space="preserve"> </w:t>
      </w:r>
      <w:r>
        <w:t xml:space="preserve">complete </w:t>
      </w:r>
      <w:r w:rsidRPr="00EC5A7E">
        <w:t>college, every student must be ready and able to do so.</w:t>
      </w:r>
    </w:p>
    <w:p w14:paraId="7028A21C" w14:textId="0830B6D4" w:rsidR="00EC5A7E" w:rsidRDefault="00EC5A7E" w:rsidP="00136979">
      <w:pPr>
        <w:pStyle w:val="ListParagraph"/>
        <w:numPr>
          <w:ilvl w:val="0"/>
          <w:numId w:val="7"/>
        </w:numPr>
        <w:jc w:val="both"/>
      </w:pPr>
      <w:r w:rsidRPr="009A1514">
        <w:rPr>
          <w:rStyle w:val="Heading4Char"/>
        </w:rPr>
        <w:t>Performance goals are floors, not ceilings.</w:t>
      </w:r>
      <w:r>
        <w:t xml:space="preserve"> Performance goals are meant to indicate an acceptable minimum threshold for performance, but they are not meant to be the end goal themselves. Schools </w:t>
      </w:r>
      <w:r w:rsidR="006B257C">
        <w:t>and local communities</w:t>
      </w:r>
      <w:r>
        <w:t xml:space="preserve"> should be encouraged to reach beyond and to exceed targets wherever applicable, and the accountability system should work in a way as to not constrain what is possible in terms of performance, innovation, or growth.</w:t>
      </w:r>
    </w:p>
    <w:p w14:paraId="61DFFBD0" w14:textId="4FE29A63" w:rsidR="00EC5A7E" w:rsidRDefault="00EC5A7E" w:rsidP="00136979">
      <w:pPr>
        <w:pStyle w:val="ListParagraph"/>
        <w:numPr>
          <w:ilvl w:val="0"/>
          <w:numId w:val="7"/>
        </w:numPr>
        <w:jc w:val="both"/>
      </w:pPr>
      <w:r w:rsidRPr="009A1514">
        <w:rPr>
          <w:rStyle w:val="Heading4Char"/>
        </w:rPr>
        <w:t>Integration of measures is key.</w:t>
      </w:r>
      <w:r>
        <w:t xml:space="preserve"> The state accountability system should incentivize districts and schools to work holistically to raise achievement and performance across a broad spectrum of outcomes. </w:t>
      </w:r>
      <w:r w:rsidR="00A91494">
        <w:t xml:space="preserve">When employers are asked what they look for in a new hire, they often prioritize softer skills (e.g. teamwork, problem-solving) in addition to academic ones. </w:t>
      </w:r>
      <w:r>
        <w:t xml:space="preserve">A school that does really well across multiple measures should fare better under the accountability system than a school that does any one or two things better than the rest, but </w:t>
      </w:r>
      <w:r w:rsidR="00000C5E">
        <w:t xml:space="preserve">is </w:t>
      </w:r>
      <w:r w:rsidR="00A91494">
        <w:t>lacking</w:t>
      </w:r>
      <w:r>
        <w:t xml:space="preserve"> in other areas.</w:t>
      </w:r>
    </w:p>
    <w:p w14:paraId="68CC4D47" w14:textId="77777777" w:rsidR="00EC5A7E" w:rsidRDefault="00EC5A7E" w:rsidP="00681F8A">
      <w:pPr>
        <w:jc w:val="both"/>
      </w:pPr>
    </w:p>
    <w:p w14:paraId="6335C829" w14:textId="56D9B119" w:rsidR="00681F8A" w:rsidRDefault="00EC5A7E" w:rsidP="00681F8A">
      <w:pPr>
        <w:jc w:val="both"/>
      </w:pPr>
      <w:r>
        <w:t>Th</w:t>
      </w:r>
      <w:r w:rsidR="000079ED">
        <w:t>is</w:t>
      </w:r>
      <w:r>
        <w:t xml:space="preserve"> design</w:t>
      </w:r>
      <w:r w:rsidR="005C18CD">
        <w:t xml:space="preserve"> aspires to create the conditions for </w:t>
      </w:r>
      <w:r>
        <w:t>flexibility and entrepreneurship</w:t>
      </w:r>
      <w:r w:rsidR="005C18CD">
        <w:t xml:space="preserve"> at the local level</w:t>
      </w:r>
      <w:r>
        <w:t>.</w:t>
      </w:r>
      <w:r w:rsidR="004F437D">
        <w:t xml:space="preserve"> One of the problems</w:t>
      </w:r>
      <w:r w:rsidR="000D1A6D">
        <w:t xml:space="preserve"> that arose</w:t>
      </w:r>
      <w:r w:rsidR="004F437D">
        <w:t xml:space="preserve"> with the previous accountability regime was that it funnel</w:t>
      </w:r>
      <w:r w:rsidR="000D1A6D">
        <w:t xml:space="preserve">ed </w:t>
      </w:r>
      <w:r w:rsidR="004F437D">
        <w:t>schools toward one model.</w:t>
      </w:r>
      <w:r>
        <w:t xml:space="preserve"> By allowing schools</w:t>
      </w:r>
      <w:r w:rsidR="00AE3AAE">
        <w:t xml:space="preserve"> and districts</w:t>
      </w:r>
      <w:r>
        <w:t xml:space="preserve"> to develop their own performance goals </w:t>
      </w:r>
      <w:r w:rsidR="004F437D">
        <w:t>aligned with their program</w:t>
      </w:r>
      <w:r w:rsidR="00BD6004">
        <w:t>, existing performance,</w:t>
      </w:r>
      <w:r w:rsidR="004F437D">
        <w:t xml:space="preserve"> and needs of students, </w:t>
      </w:r>
      <w:r>
        <w:t xml:space="preserve">ownership of </w:t>
      </w:r>
      <w:r w:rsidR="004F437D">
        <w:t xml:space="preserve">school </w:t>
      </w:r>
      <w:r>
        <w:t xml:space="preserve">improvement will lie with the </w:t>
      </w:r>
      <w:r w:rsidR="00FD71D8">
        <w:t xml:space="preserve">stakeholders </w:t>
      </w:r>
      <w:r>
        <w:t xml:space="preserve">closest to the students. </w:t>
      </w:r>
    </w:p>
    <w:p w14:paraId="2EB41589" w14:textId="786BDE0D" w:rsidR="004F437D" w:rsidRDefault="001370B8" w:rsidP="00681F8A">
      <w:pPr>
        <w:jc w:val="both"/>
      </w:pPr>
      <w:r w:rsidRPr="00A85795">
        <w:rPr>
          <w:noProof/>
        </w:rPr>
        <w:drawing>
          <wp:anchor distT="0" distB="0" distL="114300" distR="114300" simplePos="0" relativeHeight="251658240" behindDoc="0" locked="0" layoutInCell="1" allowOverlap="1" wp14:anchorId="0A8E23A2" wp14:editId="5D328DFC">
            <wp:simplePos x="0" y="0"/>
            <wp:positionH relativeFrom="column">
              <wp:posOffset>1943100</wp:posOffset>
            </wp:positionH>
            <wp:positionV relativeFrom="paragraph">
              <wp:posOffset>33655</wp:posOffset>
            </wp:positionV>
            <wp:extent cx="3583940" cy="2687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3583940" cy="2687955"/>
                    </a:xfrm>
                    <a:prstGeom prst="rect">
                      <a:avLst/>
                    </a:prstGeom>
                  </pic:spPr>
                </pic:pic>
              </a:graphicData>
            </a:graphic>
            <wp14:sizeRelH relativeFrom="page">
              <wp14:pctWidth>0</wp14:pctWidth>
            </wp14:sizeRelH>
            <wp14:sizeRelV relativeFrom="page">
              <wp14:pctHeight>0</wp14:pctHeight>
            </wp14:sizeRelV>
          </wp:anchor>
        </w:drawing>
      </w:r>
    </w:p>
    <w:p w14:paraId="00BD7A28" w14:textId="05D94A46" w:rsidR="00EC5A7E" w:rsidRDefault="004F437D" w:rsidP="00681F8A">
      <w:pPr>
        <w:jc w:val="both"/>
      </w:pPr>
      <w:r>
        <w:t xml:space="preserve">Under this model, state and local roles evolve appropriately to reflect lessons learned from the best school improvement models. The role of the </w:t>
      </w:r>
      <w:r w:rsidR="00A05FCD">
        <w:t>State Educational Agency (</w:t>
      </w:r>
      <w:r>
        <w:t>SEA</w:t>
      </w:r>
      <w:r w:rsidR="00A05FCD">
        <w:t>)</w:t>
      </w:r>
      <w:r>
        <w:t xml:space="preserve"> is to establish the overall </w:t>
      </w:r>
      <w:r w:rsidR="009E59CE">
        <w:t xml:space="preserve">guidelines for performance accountability and the relative value of school performance </w:t>
      </w:r>
      <w:r w:rsidR="00A85795" w:rsidRPr="00A85795">
        <w:t xml:space="preserve"> </w:t>
      </w:r>
      <w:r w:rsidR="009E59CE">
        <w:t>(school grades)</w:t>
      </w:r>
      <w:r w:rsidR="007B4D3B">
        <w:t xml:space="preserve">, as well as set the bar for proficiency on state </w:t>
      </w:r>
      <w:r w:rsidR="007B4D3B">
        <w:lastRenderedPageBreak/>
        <w:t>assessments</w:t>
      </w:r>
      <w:r w:rsidR="009E59CE">
        <w:t xml:space="preserve">. </w:t>
      </w:r>
      <w:r>
        <w:t xml:space="preserve">The role of the </w:t>
      </w:r>
      <w:r w:rsidR="00A05FCD">
        <w:t>Local Educational Agency (</w:t>
      </w:r>
      <w:r>
        <w:t>LEA</w:t>
      </w:r>
      <w:r w:rsidR="00A05FCD">
        <w:t>)</w:t>
      </w:r>
      <w:r>
        <w:t xml:space="preserve"> then becomes</w:t>
      </w:r>
      <w:r w:rsidR="009E59CE">
        <w:t xml:space="preserve"> much like a charter authorizer – it establishes with each school a performance contract based on state guidelines that reflects the needs and goals of the school.</w:t>
      </w:r>
      <w:r w:rsidR="00A104FA">
        <w:t xml:space="preserve"> Decision-making related to personnel and budgeting are pushed down to the school level</w:t>
      </w:r>
      <w:r w:rsidR="00BD6004">
        <w:t>, aligned with the goal of focusing resources and improvement efforts on the students who need them most</w:t>
      </w:r>
      <w:r w:rsidR="00A104FA">
        <w:t>.</w:t>
      </w:r>
      <w:r w:rsidR="00BD6004">
        <w:t xml:space="preserve"> For instance, a school that is generally high-performing</w:t>
      </w:r>
      <w:r w:rsidR="009E59CE">
        <w:t xml:space="preserve"> </w:t>
      </w:r>
      <w:r w:rsidR="00BD6004">
        <w:t xml:space="preserve">may not need to focus on overall growth as much as progress with specific subgroups. </w:t>
      </w:r>
      <w:r w:rsidR="009E59CE">
        <w:t xml:space="preserve">The mechanics of this model put the LEA in a much more </w:t>
      </w:r>
      <w:r w:rsidR="00A90CC2">
        <w:t xml:space="preserve">prominent </w:t>
      </w:r>
      <w:r w:rsidR="009E59CE">
        <w:t xml:space="preserve">position in terms of guaranteeing </w:t>
      </w:r>
      <w:r w:rsidR="00031C50">
        <w:t>quality</w:t>
      </w:r>
      <w:r w:rsidR="00136979">
        <w:t xml:space="preserve">. In the past, this has not served students well, as LEAs have not demonstrated a consistent commitment to quality or equity. </w:t>
      </w:r>
      <w:r w:rsidR="00B14135">
        <w:t>T</w:t>
      </w:r>
      <w:r w:rsidR="009E59CE">
        <w:t>hus, the state must have tight accountability over the LEA and ensure that the LEA is developing and monitoring rigorous performance contracts with its schools, providing supports when necessary for improvement</w:t>
      </w:r>
      <w:r w:rsidR="00B14135">
        <w:t>, and ensuring that all students are receiving equal educational opportunities.</w:t>
      </w:r>
    </w:p>
    <w:p w14:paraId="18C8795D" w14:textId="0E83B756" w:rsidR="00994DE5" w:rsidRDefault="00994DE5" w:rsidP="00681F8A">
      <w:pPr>
        <w:jc w:val="both"/>
      </w:pPr>
    </w:p>
    <w:p w14:paraId="373C2B60" w14:textId="59280B7C" w:rsidR="00943B58" w:rsidRDefault="00943B58" w:rsidP="00681F8A">
      <w:pPr>
        <w:jc w:val="both"/>
      </w:pPr>
      <w:r>
        <w:t>This stands in contrast to how the SEA</w:t>
      </w:r>
      <w:r w:rsidR="00E967BD">
        <w:t xml:space="preserve"> currently</w:t>
      </w:r>
      <w:r>
        <w:t xml:space="preserve"> operates in many states where it acts as </w:t>
      </w:r>
      <w:r w:rsidR="00AA52B4">
        <w:t>if it’s the state’s largest LEA.</w:t>
      </w:r>
      <w:r w:rsidR="009211EE">
        <w:t xml:space="preserve"> </w:t>
      </w:r>
      <w:r>
        <w:t xml:space="preserve">Because SEAs will wield even greater power over education policy under ESSA, </w:t>
      </w:r>
      <w:r w:rsidR="00D479DB">
        <w:t xml:space="preserve">any accountability framework must take </w:t>
      </w:r>
      <w:r w:rsidR="00283132">
        <w:t>SEA capacity</w:t>
      </w:r>
      <w:r w:rsidR="00D479DB">
        <w:t xml:space="preserve"> into consideration.</w:t>
      </w:r>
      <w:r w:rsidR="001664BB">
        <w:t xml:space="preserve"> </w:t>
      </w:r>
      <w:r>
        <w:t xml:space="preserve">Our </w:t>
      </w:r>
      <w:r w:rsidR="001664BB">
        <w:t>design</w:t>
      </w:r>
      <w:r>
        <w:t xml:space="preserve"> recognizes the</w:t>
      </w:r>
      <w:r w:rsidR="00E63A28">
        <w:t xml:space="preserve"> inherent</w:t>
      </w:r>
      <w:r>
        <w:t xml:space="preserve"> limitations of SEAs and plays to their strengths by identifying what</w:t>
      </w:r>
      <w:r w:rsidR="00C53871">
        <w:t xml:space="preserve"> we believe</w:t>
      </w:r>
      <w:r>
        <w:t xml:space="preserve"> states can </w:t>
      </w:r>
      <w:r w:rsidR="00752FB0">
        <w:t>effectively</w:t>
      </w:r>
      <w:r w:rsidR="001664BB">
        <w:t xml:space="preserve"> accomplish with their </w:t>
      </w:r>
      <w:r w:rsidR="00581EEE">
        <w:t>newly conferred</w:t>
      </w:r>
      <w:r w:rsidR="00C53871">
        <w:t xml:space="preserve"> authority.</w:t>
      </w:r>
    </w:p>
    <w:p w14:paraId="5DE498C9" w14:textId="77279BAF" w:rsidR="00994DE5" w:rsidRDefault="00994DE5" w:rsidP="00681F8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94DE5" w14:paraId="7CE7BE53" w14:textId="77777777" w:rsidTr="00994DE5">
        <w:tc>
          <w:tcPr>
            <w:tcW w:w="4428" w:type="dxa"/>
          </w:tcPr>
          <w:p w14:paraId="25C6331C" w14:textId="6CA82898" w:rsidR="00994DE5" w:rsidRDefault="00390B80" w:rsidP="00350368">
            <w:pPr>
              <w:jc w:val="both"/>
            </w:pPr>
            <w:r>
              <w:t xml:space="preserve">What the </w:t>
            </w:r>
            <w:r w:rsidR="00350368">
              <w:t>SEA</w:t>
            </w:r>
            <w:r>
              <w:t xml:space="preserve"> can do well</w:t>
            </w:r>
            <w:r w:rsidR="00994DE5">
              <w:t>:</w:t>
            </w:r>
          </w:p>
        </w:tc>
        <w:tc>
          <w:tcPr>
            <w:tcW w:w="4428" w:type="dxa"/>
          </w:tcPr>
          <w:p w14:paraId="3FA375B7" w14:textId="0A2A4263" w:rsidR="00994DE5" w:rsidRDefault="00390B80" w:rsidP="00350368">
            <w:pPr>
              <w:jc w:val="both"/>
            </w:pPr>
            <w:r>
              <w:t xml:space="preserve">What the </w:t>
            </w:r>
            <w:r w:rsidR="00350368">
              <w:t>SEA</w:t>
            </w:r>
            <w:r>
              <w:t xml:space="preserve"> cannot do well</w:t>
            </w:r>
            <w:r w:rsidR="00994DE5">
              <w:t>:</w:t>
            </w:r>
          </w:p>
        </w:tc>
      </w:tr>
      <w:tr w:rsidR="00994DE5" w14:paraId="718C9B53" w14:textId="77777777" w:rsidTr="00994DE5">
        <w:tc>
          <w:tcPr>
            <w:tcW w:w="4428" w:type="dxa"/>
          </w:tcPr>
          <w:p w14:paraId="617D75FA" w14:textId="77777777" w:rsidR="00994DE5" w:rsidRDefault="00994DE5" w:rsidP="00681F8A">
            <w:pPr>
              <w:pStyle w:val="ListParagraph"/>
              <w:numPr>
                <w:ilvl w:val="0"/>
                <w:numId w:val="4"/>
              </w:numPr>
              <w:jc w:val="both"/>
            </w:pPr>
            <w:r>
              <w:t>Shine a light on performance issues</w:t>
            </w:r>
          </w:p>
          <w:p w14:paraId="1561CC8B" w14:textId="63F09FD9" w:rsidR="007D194B" w:rsidRDefault="007D194B" w:rsidP="00681F8A">
            <w:pPr>
              <w:pStyle w:val="ListParagraph"/>
              <w:numPr>
                <w:ilvl w:val="0"/>
                <w:numId w:val="4"/>
              </w:numPr>
              <w:jc w:val="both"/>
            </w:pPr>
            <w:r>
              <w:t>Turn up the heat on low performers</w:t>
            </w:r>
          </w:p>
          <w:p w14:paraId="2523F387" w14:textId="77777777" w:rsidR="00994DE5" w:rsidRDefault="00994DE5" w:rsidP="00681F8A">
            <w:pPr>
              <w:pStyle w:val="ListParagraph"/>
              <w:numPr>
                <w:ilvl w:val="0"/>
                <w:numId w:val="4"/>
              </w:numPr>
              <w:jc w:val="both"/>
            </w:pPr>
            <w:r>
              <w:t>Administer assessments</w:t>
            </w:r>
          </w:p>
          <w:p w14:paraId="6F42579C" w14:textId="295A8CDD" w:rsidR="007B4D3B" w:rsidRDefault="00994DE5" w:rsidP="00A51689">
            <w:pPr>
              <w:pStyle w:val="ListParagraph"/>
              <w:numPr>
                <w:ilvl w:val="0"/>
                <w:numId w:val="4"/>
              </w:numPr>
              <w:jc w:val="both"/>
            </w:pPr>
            <w:r>
              <w:t xml:space="preserve">Collect, </w:t>
            </w:r>
            <w:r w:rsidR="00535A41">
              <w:t>calculate</w:t>
            </w:r>
            <w:r>
              <w:t>, and publish data</w:t>
            </w:r>
          </w:p>
        </w:tc>
        <w:tc>
          <w:tcPr>
            <w:tcW w:w="4428" w:type="dxa"/>
          </w:tcPr>
          <w:p w14:paraId="5F27E625" w14:textId="0EB63481" w:rsidR="00994DE5" w:rsidRDefault="00994DE5" w:rsidP="00681F8A">
            <w:pPr>
              <w:pStyle w:val="ListParagraph"/>
              <w:numPr>
                <w:ilvl w:val="0"/>
                <w:numId w:val="4"/>
              </w:numPr>
              <w:jc w:val="both"/>
            </w:pPr>
            <w:r>
              <w:t>Choose curricul</w:t>
            </w:r>
            <w:r w:rsidR="007B4D3B">
              <w:t>a</w:t>
            </w:r>
          </w:p>
          <w:p w14:paraId="6D4425D0" w14:textId="77777777" w:rsidR="00994DE5" w:rsidRDefault="00994DE5" w:rsidP="00681F8A">
            <w:pPr>
              <w:pStyle w:val="ListParagraph"/>
              <w:numPr>
                <w:ilvl w:val="0"/>
                <w:numId w:val="4"/>
              </w:numPr>
              <w:jc w:val="both"/>
            </w:pPr>
            <w:r>
              <w:t>Operate schools</w:t>
            </w:r>
          </w:p>
          <w:p w14:paraId="18B4F7A1" w14:textId="1AFB86BD" w:rsidR="007D320A" w:rsidRDefault="007D320A" w:rsidP="00F0235D">
            <w:pPr>
              <w:pStyle w:val="ListParagraph"/>
              <w:numPr>
                <w:ilvl w:val="0"/>
                <w:numId w:val="4"/>
              </w:numPr>
              <w:jc w:val="both"/>
            </w:pPr>
            <w:r>
              <w:t>Mandate innovati</w:t>
            </w:r>
            <w:r w:rsidR="00F0235D">
              <w:t>on</w:t>
            </w:r>
          </w:p>
        </w:tc>
      </w:tr>
    </w:tbl>
    <w:p w14:paraId="25FE9032" w14:textId="77777777" w:rsidR="004F437D" w:rsidRDefault="004F437D" w:rsidP="00681F8A">
      <w:pPr>
        <w:jc w:val="both"/>
      </w:pPr>
    </w:p>
    <w:p w14:paraId="328A79FF" w14:textId="14264A60" w:rsidR="00A55A93" w:rsidRDefault="00FD71B9" w:rsidP="00681F8A">
      <w:pPr>
        <w:jc w:val="both"/>
      </w:pPr>
      <w:r>
        <w:t xml:space="preserve">The overall framework of indicators is detailed in </w:t>
      </w:r>
      <w:r w:rsidR="00236610">
        <w:t>A</w:t>
      </w:r>
      <w:r>
        <w:t>ppendix</w:t>
      </w:r>
      <w:r w:rsidR="00236610">
        <w:t xml:space="preserve"> A</w:t>
      </w:r>
      <w:r>
        <w:t xml:space="preserve"> below. To achieve the flexibility offered by a performance contract, we propose a system similar to an identification verification model (we</w:t>
      </w:r>
      <w:r w:rsidR="0020649E">
        <w:t>’re</w:t>
      </w:r>
      <w:r>
        <w:t xml:space="preserve"> call</w:t>
      </w:r>
      <w:r w:rsidR="0020649E">
        <w:t>ing</w:t>
      </w:r>
      <w:r>
        <w:t xml:space="preserve"> it the “driver’s license alternative” model</w:t>
      </w:r>
      <w:r w:rsidR="00632554">
        <w:t xml:space="preserve"> – see the</w:t>
      </w:r>
      <w:r w:rsidR="0020649E">
        <w:t>se</w:t>
      </w:r>
      <w:r w:rsidR="00632554">
        <w:t xml:space="preserve"> example</w:t>
      </w:r>
      <w:r w:rsidR="0020649E">
        <w:t>s</w:t>
      </w:r>
      <w:r w:rsidR="00632554">
        <w:t xml:space="preserve"> from </w:t>
      </w:r>
      <w:hyperlink r:id="rId10" w:history="1">
        <w:r w:rsidR="00632554" w:rsidRPr="00632554">
          <w:rPr>
            <w:rStyle w:val="Hyperlink"/>
          </w:rPr>
          <w:t xml:space="preserve">Texas </w:t>
        </w:r>
      </w:hyperlink>
      <w:r w:rsidR="00632554">
        <w:t xml:space="preserve">or </w:t>
      </w:r>
      <w:hyperlink r:id="rId11" w:history="1">
        <w:r w:rsidR="0020649E" w:rsidRPr="0020649E">
          <w:rPr>
            <w:rStyle w:val="Hyperlink"/>
          </w:rPr>
          <w:t>Michigan</w:t>
        </w:r>
      </w:hyperlink>
      <w:r>
        <w:t>)</w:t>
      </w:r>
      <w:r w:rsidR="00A55A93">
        <w:t xml:space="preserve"> in which the end user (in this case, the school) chooses among options that allow it to meet the</w:t>
      </w:r>
      <w:r w:rsidR="004D631C">
        <w:t xml:space="preserve"> state’s minimum</w:t>
      </w:r>
      <w:r w:rsidR="00A55A93">
        <w:t xml:space="preserve"> requirements</w:t>
      </w:r>
      <w:r>
        <w:t xml:space="preserve">. </w:t>
      </w:r>
      <w:r w:rsidR="00071673">
        <w:t xml:space="preserve">The degree of choice that a school has </w:t>
      </w:r>
      <w:r w:rsidR="00C61729">
        <w:t xml:space="preserve">will </w:t>
      </w:r>
      <w:r w:rsidR="00071673">
        <w:t>depend on past performance</w:t>
      </w:r>
      <w:r w:rsidR="00C61729">
        <w:t xml:space="preserve"> via an earned autonomy model:</w:t>
      </w:r>
      <w:r w:rsidR="00071673">
        <w:t xml:space="preserve"> schools that consistently meet their performance objectives will have greater latitude in choosing which measures to use, while poor-performing schools </w:t>
      </w:r>
      <w:r w:rsidR="00C61729">
        <w:t>may</w:t>
      </w:r>
      <w:r w:rsidR="00071673">
        <w:t xml:space="preserve"> receive greater direction from the state and LEA</w:t>
      </w:r>
      <w:r w:rsidR="005047A9">
        <w:t>.</w:t>
      </w:r>
      <w:r w:rsidR="005F2C08">
        <w:t xml:space="preserve"> Once a school has chosen a suite of </w:t>
      </w:r>
      <w:r w:rsidR="0083550C">
        <w:t>measures aligned to the indicators in the framework</w:t>
      </w:r>
      <w:r w:rsidR="005F2C08">
        <w:t xml:space="preserve">, they will remain in place for a prescribed </w:t>
      </w:r>
      <w:r w:rsidR="00186331">
        <w:t>period</w:t>
      </w:r>
      <w:r w:rsidR="005F2C08">
        <w:t xml:space="preserve"> of time as to obviate the issues that would arise from switching indicators</w:t>
      </w:r>
      <w:r w:rsidR="008D127A">
        <w:t xml:space="preserve"> (selectively or wholesale) </w:t>
      </w:r>
      <w:r w:rsidR="005F2C08">
        <w:t>on a</w:t>
      </w:r>
      <w:r w:rsidR="00242F6F">
        <w:t>n</w:t>
      </w:r>
      <w:r w:rsidR="005F2C08">
        <w:t xml:space="preserve"> </w:t>
      </w:r>
      <w:r w:rsidR="00242F6F">
        <w:t>annual</w:t>
      </w:r>
      <w:r w:rsidR="005F2C08">
        <w:t xml:space="preserve"> basis.</w:t>
      </w:r>
    </w:p>
    <w:p w14:paraId="414AF44E" w14:textId="77777777" w:rsidR="00A55A93" w:rsidRDefault="00A55A93" w:rsidP="00681F8A">
      <w:pPr>
        <w:jc w:val="both"/>
      </w:pPr>
    </w:p>
    <w:p w14:paraId="2ABACDB0" w14:textId="2005C541" w:rsidR="00A55A93" w:rsidRDefault="00A55A93" w:rsidP="00681F8A">
      <w:pPr>
        <w:jc w:val="both"/>
      </w:pPr>
      <w:r>
        <w:t xml:space="preserve">Every school will be measured by overall academic growth, performance of subgroups, and progress of ELL students, per ESSA. The remainder of the accountability framework, however, can be tailored for each school. There are five groups of indicators. Within each group, there are multiple measures from which to choose. Two groups – </w:t>
      </w:r>
      <w:r w:rsidRPr="00A55A93">
        <w:rPr>
          <w:rStyle w:val="Heading3Char"/>
        </w:rPr>
        <w:t>Academic Growth</w:t>
      </w:r>
      <w:r>
        <w:t xml:space="preserve"> and </w:t>
      </w:r>
      <w:r w:rsidR="009D3A03">
        <w:rPr>
          <w:rStyle w:val="Heading3Char"/>
        </w:rPr>
        <w:t xml:space="preserve">All Students Achieve </w:t>
      </w:r>
      <w:r>
        <w:t>– require the selection of two measures to reflect a greater weighting among the five groups.</w:t>
      </w:r>
      <w:r w:rsidR="00CF58FB">
        <w:t xml:space="preserve"> A state may choose to add additional measures; in fact, </w:t>
      </w:r>
      <w:r w:rsidR="004A3A8C">
        <w:t>it</w:t>
      </w:r>
      <w:r w:rsidR="00082190">
        <w:t xml:space="preserve"> </w:t>
      </w:r>
      <w:r w:rsidR="004A3A8C">
        <w:t>is</w:t>
      </w:r>
      <w:r w:rsidR="00082190">
        <w:t xml:space="preserve"> encouraged to do so as </w:t>
      </w:r>
      <w:r w:rsidR="00CF58FB">
        <w:t>part of the design. The state can provide as much or as little flexibility as it wants and can adapt and adjust the model as new measures are developed or existing measures are discarded.</w:t>
      </w:r>
    </w:p>
    <w:p w14:paraId="320163B1" w14:textId="77777777" w:rsidR="00A55A93" w:rsidRDefault="00A55A93" w:rsidP="00681F8A">
      <w:pPr>
        <w:jc w:val="both"/>
      </w:pPr>
    </w:p>
    <w:p w14:paraId="33A79BA8" w14:textId="1CE5F0DA" w:rsidR="00BD6905" w:rsidRDefault="001A6122" w:rsidP="00681F8A">
      <w:pPr>
        <w:jc w:val="both"/>
      </w:pPr>
      <w:r w:rsidRPr="001A6122">
        <w:t xml:space="preserve">In granting LEAs </w:t>
      </w:r>
      <w:r w:rsidR="008F255B">
        <w:t xml:space="preserve">the authority to oversee school-level </w:t>
      </w:r>
      <w:r w:rsidRPr="001A6122">
        <w:t>flexibility in choosing indicators, the SEA must appropriately guard against those that might attempt to game the system, specifically with regard to where the proficiency bar is set. Our framework is premised on the state assuming good motive: districts and schools will endeavor to ensure rigorous outcomes for students. However, the SEA must also be alert to results that do not pass a basic smell test. As an example, to borrow from a different yet relevant context, an F-rated school that reports having 100% of its teachers rated as highly effective would raise eyebrows. Similarly, a school with high rates of suspending Black students that reports high levels of satisfaction from student surveys of the same population might require suspending disbelief. SEAs should be able to develop such a system of checks and balances in collaboration with local communities; the process would not need to be overly burdensome.</w:t>
      </w:r>
    </w:p>
    <w:p w14:paraId="5C3B26F9" w14:textId="5BF1CB94" w:rsidR="0020649E" w:rsidRDefault="00B9510C" w:rsidP="00513AC6">
      <w:pPr>
        <w:pStyle w:val="Heading3"/>
      </w:pPr>
      <w:r>
        <w:t>Overall Academic Growth</w:t>
      </w:r>
      <w:r w:rsidR="00D51BD7">
        <w:t xml:space="preserve"> (Fordham 2b)</w:t>
      </w:r>
    </w:p>
    <w:p w14:paraId="2C1DBB3D" w14:textId="021E1814" w:rsidR="00C92A91" w:rsidRDefault="0033396A" w:rsidP="00681F8A">
      <w:pPr>
        <w:jc w:val="both"/>
      </w:pPr>
      <w:r>
        <w:t>Academic growth will be measured through the use of a state growth model that compute</w:t>
      </w:r>
      <w:r w:rsidR="0006736B">
        <w:t>s</w:t>
      </w:r>
      <w:r>
        <w:t xml:space="preserve"> a school-level growth score for each school based on the progress made by students in math and reading. Growth measures would not be used for accountability purposes until at least three years of data exists for the calculation.</w:t>
      </w:r>
    </w:p>
    <w:p w14:paraId="61A0A5FC" w14:textId="79945EF1" w:rsidR="00B9510C" w:rsidRDefault="00B9510C" w:rsidP="00513AC6">
      <w:pPr>
        <w:pStyle w:val="Heading3"/>
      </w:pPr>
      <w:r>
        <w:t>Subgroup Performance</w:t>
      </w:r>
      <w:r w:rsidR="00D51BD7">
        <w:t xml:space="preserve"> (Fordham 2f)</w:t>
      </w:r>
    </w:p>
    <w:p w14:paraId="1E8279C6" w14:textId="1618EFFA" w:rsidR="0033396A" w:rsidRDefault="00EA3364" w:rsidP="00681F8A">
      <w:pPr>
        <w:jc w:val="both"/>
      </w:pPr>
      <w:r>
        <w:t>Every school will have to track and make public the performance of all subgroups, and will be graded on the degree to which subgroup performance meets the targets established in the performance contract. Moreover, subgroups that do not make progress each year will count against the school’s overall grade. Targets for this indicator will be described in terms of absol</w:t>
      </w:r>
      <w:r w:rsidR="0025188F">
        <w:t xml:space="preserve">ute performance. Growth and gap </w:t>
      </w:r>
      <w:r>
        <w:t xml:space="preserve">closing will be addressed in the </w:t>
      </w:r>
      <w:r w:rsidRPr="00EA3364">
        <w:rPr>
          <w:rStyle w:val="Heading3Char"/>
        </w:rPr>
        <w:t>Academic Growth</w:t>
      </w:r>
      <w:r>
        <w:t xml:space="preserve"> and </w:t>
      </w:r>
      <w:r w:rsidRPr="00EA3364">
        <w:rPr>
          <w:rStyle w:val="Heading3Char"/>
        </w:rPr>
        <w:t>All Students Achieve</w:t>
      </w:r>
      <w:r>
        <w:t xml:space="preserve"> indicators.</w:t>
      </w:r>
    </w:p>
    <w:p w14:paraId="31010A6B" w14:textId="0DFCA79E" w:rsidR="00B9510C" w:rsidRDefault="00B9510C" w:rsidP="00513AC6">
      <w:pPr>
        <w:pStyle w:val="Heading3"/>
      </w:pPr>
      <w:r>
        <w:t>Progress Toward English Language Proficiency</w:t>
      </w:r>
      <w:r w:rsidR="00D51BD7">
        <w:t xml:space="preserve"> (Fordham 2c)</w:t>
      </w:r>
    </w:p>
    <w:p w14:paraId="07A4A30B" w14:textId="10FB5C84" w:rsidR="0033396A" w:rsidRDefault="0033396A" w:rsidP="00681F8A">
      <w:pPr>
        <w:jc w:val="both"/>
      </w:pPr>
      <w:r>
        <w:t>Each school must demonstrate progress toward English language proficiency, as measured by the growth in proficiency among students in this subgroup.</w:t>
      </w:r>
    </w:p>
    <w:p w14:paraId="7B80E1CB" w14:textId="24F4BC8A" w:rsidR="00B9510C" w:rsidRDefault="00B9510C" w:rsidP="00513AC6">
      <w:pPr>
        <w:pStyle w:val="Heading3"/>
      </w:pPr>
      <w:r>
        <w:t>Academic I and II</w:t>
      </w:r>
      <w:r w:rsidR="00D51BD7">
        <w:t xml:space="preserve"> (Fordham 2a)</w:t>
      </w:r>
    </w:p>
    <w:p w14:paraId="5D631AEE" w14:textId="02C66AC9" w:rsidR="00C92A91" w:rsidRDefault="0033396A" w:rsidP="00681F8A">
      <w:pPr>
        <w:jc w:val="both"/>
      </w:pPr>
      <w:r>
        <w:t xml:space="preserve">Each school must establish a target performance goal for math and reading proficiency that reflects reasonable, yet ambitious, progress for all students based on the prior year’s proficiency rates. Additionally, each school must select </w:t>
      </w:r>
      <w:r w:rsidR="00CD2C3C">
        <w:t xml:space="preserve">at least </w:t>
      </w:r>
      <w:r>
        <w:t>one additional academic measure related to achievement in subjects other than math and reading.</w:t>
      </w:r>
      <w:r w:rsidR="00647E1F">
        <w:t xml:space="preserve"> Selection of the additional measure could be based on an academic area that is in need of improvement or a measure that reflects a special or unique emphasis of the school’s academic program (e.g. the school has a STEM focus).</w:t>
      </w:r>
    </w:p>
    <w:p w14:paraId="229A5AA1" w14:textId="55F408A6" w:rsidR="00B9510C" w:rsidRDefault="00B9510C" w:rsidP="00513AC6">
      <w:pPr>
        <w:pStyle w:val="Heading3"/>
      </w:pPr>
      <w:r>
        <w:t>Academic Growth</w:t>
      </w:r>
      <w:r w:rsidR="00D51BD7">
        <w:t xml:space="preserve"> (Fordham 2b)</w:t>
      </w:r>
    </w:p>
    <w:p w14:paraId="3DA77B06" w14:textId="28EC0D49" w:rsidR="00647E1F" w:rsidRDefault="00647E1F" w:rsidP="00681F8A">
      <w:pPr>
        <w:jc w:val="both"/>
      </w:pPr>
      <w:r>
        <w:t xml:space="preserve">Each school must select two measures that demonstrate growth in a core academic area. Schools must establish targets that are reasonable, yet ambitious; align with the school’s long-term goals for proficiency; and reflect growth among students at every performance level. Growth must also recognize that proficiency is the floor, but mastery is the end goal. Thus, schools would be encouraged to move students not just from basic to proficient, but also from proficient to </w:t>
      </w:r>
      <w:r w:rsidR="00CD2C3C">
        <w:t>advanced.</w:t>
      </w:r>
      <w:r w:rsidR="00EF287D">
        <w:t xml:space="preserve"> In calculating growth, schools can choose to use valid and reliable growth models that currently exist or devise their own </w:t>
      </w:r>
      <w:r w:rsidR="00B8525A">
        <w:t>in concert with</w:t>
      </w:r>
      <w:r w:rsidR="00EF287D">
        <w:t xml:space="preserve"> the state.</w:t>
      </w:r>
    </w:p>
    <w:p w14:paraId="7091A963" w14:textId="30B70DAC" w:rsidR="00B9510C" w:rsidRDefault="00B9510C" w:rsidP="00513AC6">
      <w:pPr>
        <w:pStyle w:val="Heading3"/>
      </w:pPr>
      <w:r>
        <w:t>Student Success and Quality</w:t>
      </w:r>
      <w:r w:rsidR="00D51BD7">
        <w:t xml:space="preserve"> (Fordham 2d)</w:t>
      </w:r>
    </w:p>
    <w:p w14:paraId="2EB3371B" w14:textId="0CAA97D3" w:rsidR="00B9510C" w:rsidRDefault="00EF287D" w:rsidP="00681F8A">
      <w:pPr>
        <w:jc w:val="both"/>
      </w:pPr>
      <w:r>
        <w:t xml:space="preserve">Each school must choose at least one </w:t>
      </w:r>
      <w:r w:rsidR="00603FB8">
        <w:t>measure</w:t>
      </w:r>
      <w:r w:rsidR="00B25204">
        <w:t xml:space="preserve"> related to student success or school quality. While the measures for this indicator do not speak directly to student academic performance, they should encompass measures that directly or indirectly impact </w:t>
      </w:r>
      <w:r w:rsidR="00835681">
        <w:t>teaching and learning (e.g. school climate, educator effectiveness, etc.). High schools would include measures related to post-secondary readiness.</w:t>
      </w:r>
    </w:p>
    <w:p w14:paraId="751FC8F6" w14:textId="16A3314D" w:rsidR="00513AC6" w:rsidRDefault="00B9510C" w:rsidP="00513AC6">
      <w:pPr>
        <w:pStyle w:val="Heading3"/>
      </w:pPr>
      <w:r>
        <w:t>All Students Achieve</w:t>
      </w:r>
      <w:r w:rsidR="00D51BD7">
        <w:t xml:space="preserve"> (Fordham 2a,f)</w:t>
      </w:r>
    </w:p>
    <w:p w14:paraId="667A06D1" w14:textId="578E644C" w:rsidR="00C81007" w:rsidRDefault="008F255B" w:rsidP="00C81007">
      <w:pPr>
        <w:jc w:val="both"/>
      </w:pPr>
      <w:r>
        <w:t xml:space="preserve">Each school must choose two </w:t>
      </w:r>
      <w:r w:rsidR="00FD71B9">
        <w:t>measures that capture the progress of targeted subgroups, including ELL students and students who significantly trail their peers in achievement</w:t>
      </w:r>
      <w:r>
        <w:t>, and the degree to they are catching up.</w:t>
      </w:r>
    </w:p>
    <w:p w14:paraId="65418B39" w14:textId="77777777" w:rsidR="00C81007" w:rsidRDefault="00C81007" w:rsidP="00C81007">
      <w:pPr>
        <w:pStyle w:val="Heading3"/>
      </w:pPr>
      <w:r>
        <w:t>Summative schools grades and ratings (Fordham 2e,g)</w:t>
      </w:r>
    </w:p>
    <w:p w14:paraId="52A81C42" w14:textId="681C19F0" w:rsidR="0013275C" w:rsidRDefault="00C81007" w:rsidP="00C81007">
      <w:pPr>
        <w:jc w:val="both"/>
      </w:pPr>
      <w:r>
        <w:t>Each school will r</w:t>
      </w:r>
      <w:r w:rsidR="00A63C53">
        <w:t xml:space="preserve">eceive a grade on an A-F scale based on the degree to which they meet their target goals detailed in their performance contract. The </w:t>
      </w:r>
      <w:r w:rsidR="0013275C">
        <w:t>state would determine ranges for performance based on a summative evaluation of performance and designate them as grade bands</w:t>
      </w:r>
      <w:r w:rsidR="00A63C53">
        <w:t xml:space="preserve">. </w:t>
      </w:r>
      <w:r w:rsidR="0013275C">
        <w:t>In keeping with the requirements of ESSA, indicators for achievement, growth, and English language proficiency are weighted most heavily because there are at least two measures for each indicator that must factor into the school’s performance goals.</w:t>
      </w:r>
    </w:p>
    <w:p w14:paraId="3D28FA6E" w14:textId="77777777" w:rsidR="0013275C" w:rsidRDefault="0013275C" w:rsidP="00C81007">
      <w:pPr>
        <w:jc w:val="both"/>
      </w:pPr>
    </w:p>
    <w:p w14:paraId="2B6EC9DB" w14:textId="23440FC2" w:rsidR="00C81007" w:rsidRDefault="00A63C53" w:rsidP="00C81007">
      <w:pPr>
        <w:jc w:val="both"/>
      </w:pPr>
      <w:r>
        <w:t xml:space="preserve">Following the design principle that integration of measures is key, the summative grade will </w:t>
      </w:r>
      <w:r w:rsidR="00C81007">
        <w:t>work in such a way as to favor those schools that achieve well across the spectrum of performance goals over schools that have greater variation in performance.</w:t>
      </w:r>
      <w:r w:rsidR="00557249">
        <w:t xml:space="preserve"> Interventions will be determine</w:t>
      </w:r>
      <w:r w:rsidR="00C3349A">
        <w:t>d</w:t>
      </w:r>
      <w:r w:rsidR="00557249">
        <w:t xml:space="preserve"> by progress in achieving goals of the performance contract (with grade caps for failure to meet academic portions).</w:t>
      </w:r>
      <w:r w:rsidR="00C81007">
        <w:t xml:space="preserve"> </w:t>
      </w:r>
    </w:p>
    <w:p w14:paraId="20AD23FF" w14:textId="77777777" w:rsidR="00A63C53" w:rsidRDefault="00A63C53" w:rsidP="00C81007">
      <w:pPr>
        <w:jc w:val="both"/>
      </w:pPr>
    </w:p>
    <w:p w14:paraId="000830E9" w14:textId="6DEF3922" w:rsidR="00994DE5" w:rsidRDefault="00C81007" w:rsidP="00681F8A">
      <w:pPr>
        <w:jc w:val="both"/>
      </w:pPr>
      <w:r>
        <w:t>Unique to this model, the + and – accompanying the overall grade will serve as a signal regarding whether the school is improving or declining in performance. Earning a B+ means the school is getting better; a B- means the school did worse than in the previous year. Using this grade model, parents might choose a C+ school over a B- school based on the performance trajectory.</w:t>
      </w:r>
      <w:r w:rsidR="00044FF6">
        <w:t xml:space="preserve"> See Appendix B: Sample Schools</w:t>
      </w:r>
      <w:r w:rsidR="006F78F3">
        <w:t xml:space="preserve"> Worksheet</w:t>
      </w:r>
      <w:r w:rsidR="00044FF6">
        <w:t>.</w:t>
      </w:r>
      <w:r w:rsidR="00994DE5">
        <w:br w:type="page"/>
      </w:r>
    </w:p>
    <w:p w14:paraId="55490A73" w14:textId="77777777" w:rsidR="00994DE5" w:rsidRDefault="00994DE5" w:rsidP="00994DE5">
      <w:pPr>
        <w:sectPr w:rsidR="00994DE5" w:rsidSect="00FB22B6">
          <w:headerReference w:type="default" r:id="rId12"/>
          <w:footerReference w:type="even" r:id="rId13"/>
          <w:footerReference w:type="default" r:id="rId14"/>
          <w:pgSz w:w="12240" w:h="15840"/>
          <w:pgMar w:top="1440" w:right="1800" w:bottom="1440" w:left="1800" w:header="720" w:footer="720" w:gutter="0"/>
          <w:cols w:space="720"/>
          <w:docGrid w:linePitch="360"/>
        </w:sectPr>
      </w:pPr>
    </w:p>
    <w:p w14:paraId="6E22B345" w14:textId="4EE77111" w:rsidR="00994DE5" w:rsidRDefault="00403EE6" w:rsidP="00403EE6">
      <w:pPr>
        <w:pStyle w:val="Heading1"/>
        <w:spacing w:before="0"/>
      </w:pPr>
      <w:r>
        <w:t>Appendix</w:t>
      </w:r>
      <w:r w:rsidR="00236610">
        <w:t xml:space="preserve"> A</w:t>
      </w:r>
      <w:r w:rsidR="00FC0707">
        <w:t>: Overall Framework</w:t>
      </w:r>
    </w:p>
    <w:p w14:paraId="6CB460C4" w14:textId="7304B8DF" w:rsidR="00403EE6" w:rsidRPr="00403EE6" w:rsidRDefault="0044386D" w:rsidP="00403EE6">
      <w:r>
        <w:t>* The indicator options below are meant to be illustrative, but not comprehensive</w:t>
      </w:r>
    </w:p>
    <w:tbl>
      <w:tblPr>
        <w:tblStyle w:val="TableGrid"/>
        <w:tblW w:w="0" w:type="auto"/>
        <w:tblCellSpacing w:w="14" w:type="dxa"/>
        <w:tblBorders>
          <w:insideH w:val="dotted" w:sz="4" w:space="0" w:color="auto"/>
          <w:insideV w:val="dotted" w:sz="4" w:space="0" w:color="auto"/>
        </w:tblBorders>
        <w:tblCellMar>
          <w:left w:w="115" w:type="dxa"/>
          <w:right w:w="115" w:type="dxa"/>
        </w:tblCellMar>
        <w:tblLook w:val="04A0" w:firstRow="1" w:lastRow="0" w:firstColumn="1" w:lastColumn="0" w:noHBand="0" w:noVBand="1"/>
      </w:tblPr>
      <w:tblGrid>
        <w:gridCol w:w="1923"/>
        <w:gridCol w:w="2181"/>
        <w:gridCol w:w="2400"/>
        <w:gridCol w:w="2259"/>
        <w:gridCol w:w="2406"/>
        <w:gridCol w:w="2197"/>
      </w:tblGrid>
      <w:tr w:rsidR="00001970" w14:paraId="12BF246F" w14:textId="77777777" w:rsidTr="00667773">
        <w:trPr>
          <w:tblCellSpacing w:w="14" w:type="dxa"/>
        </w:trPr>
        <w:tc>
          <w:tcPr>
            <w:tcW w:w="1881" w:type="dxa"/>
            <w:tcBorders>
              <w:top w:val="thinThickSmallGap" w:sz="12" w:space="0" w:color="auto"/>
              <w:left w:val="thinThickSmallGap" w:sz="12" w:space="0" w:color="auto"/>
              <w:bottom w:val="dotted" w:sz="4" w:space="0" w:color="auto"/>
              <w:right w:val="thinThickSmallGap" w:sz="12" w:space="0" w:color="auto"/>
            </w:tcBorders>
            <w:shd w:val="clear" w:color="auto" w:fill="F2F2F2" w:themeFill="background1" w:themeFillShade="F2"/>
            <w:vAlign w:val="center"/>
          </w:tcPr>
          <w:p w14:paraId="670C3C25" w14:textId="77777777" w:rsidR="00001970" w:rsidRPr="00667773" w:rsidRDefault="00001970" w:rsidP="00667773">
            <w:pPr>
              <w:pStyle w:val="Heading3"/>
              <w:spacing w:before="0"/>
              <w:jc w:val="center"/>
              <w:rPr>
                <w:sz w:val="18"/>
                <w:szCs w:val="18"/>
              </w:rPr>
            </w:pPr>
            <w:r w:rsidRPr="00667773">
              <w:rPr>
                <w:sz w:val="18"/>
                <w:szCs w:val="18"/>
              </w:rPr>
              <w:t>Overall Academic Growth</w:t>
            </w:r>
          </w:p>
          <w:p w14:paraId="3A0AB7C9" w14:textId="39193033" w:rsidR="00001970" w:rsidRPr="00667773" w:rsidRDefault="00001970" w:rsidP="00667773">
            <w:pPr>
              <w:pStyle w:val="Heading4"/>
              <w:spacing w:before="0"/>
              <w:jc w:val="center"/>
              <w:rPr>
                <w:sz w:val="18"/>
                <w:szCs w:val="18"/>
              </w:rPr>
            </w:pPr>
            <w:r w:rsidRPr="00667773">
              <w:rPr>
                <w:sz w:val="18"/>
                <w:szCs w:val="18"/>
              </w:rPr>
              <w:t>Required</w:t>
            </w:r>
          </w:p>
        </w:tc>
        <w:tc>
          <w:tcPr>
            <w:tcW w:w="2153" w:type="dxa"/>
            <w:tcBorders>
              <w:top w:val="thinThickSmallGap" w:sz="12" w:space="0" w:color="auto"/>
              <w:left w:val="thinThickSmallGap" w:sz="12" w:space="0" w:color="auto"/>
              <w:bottom w:val="dotted" w:sz="4" w:space="0" w:color="auto"/>
              <w:right w:val="thinThickSmallGap" w:sz="12" w:space="0" w:color="auto"/>
            </w:tcBorders>
            <w:shd w:val="clear" w:color="auto" w:fill="F2F2F2" w:themeFill="background1" w:themeFillShade="F2"/>
            <w:vAlign w:val="center"/>
          </w:tcPr>
          <w:p w14:paraId="329C13C5" w14:textId="77777777" w:rsidR="00001970" w:rsidRPr="00667773" w:rsidRDefault="00001970" w:rsidP="0001328E">
            <w:pPr>
              <w:pStyle w:val="Heading3"/>
              <w:jc w:val="center"/>
              <w:rPr>
                <w:sz w:val="18"/>
                <w:szCs w:val="18"/>
              </w:rPr>
            </w:pPr>
            <w:r w:rsidRPr="00667773">
              <w:rPr>
                <w:sz w:val="18"/>
                <w:szCs w:val="18"/>
              </w:rPr>
              <w:t>Academic I</w:t>
            </w:r>
          </w:p>
          <w:p w14:paraId="44444F35" w14:textId="13351A46" w:rsidR="00001970" w:rsidRPr="00667773" w:rsidRDefault="00001970" w:rsidP="00667773">
            <w:pPr>
              <w:pStyle w:val="Heading4"/>
              <w:spacing w:before="0"/>
              <w:jc w:val="center"/>
              <w:rPr>
                <w:sz w:val="18"/>
                <w:szCs w:val="18"/>
              </w:rPr>
            </w:pPr>
            <w:r w:rsidRPr="00667773">
              <w:rPr>
                <w:sz w:val="18"/>
                <w:szCs w:val="18"/>
              </w:rPr>
              <w:t>Choose at least one</w:t>
            </w:r>
          </w:p>
        </w:tc>
        <w:tc>
          <w:tcPr>
            <w:tcW w:w="2372" w:type="dxa"/>
            <w:tcBorders>
              <w:top w:val="thinThickSmallGap" w:sz="12" w:space="0" w:color="auto"/>
              <w:left w:val="thinThickSmallGap" w:sz="12" w:space="0" w:color="auto"/>
              <w:bottom w:val="dotted" w:sz="4" w:space="0" w:color="auto"/>
              <w:right w:val="thinThickSmallGap" w:sz="12" w:space="0" w:color="auto"/>
            </w:tcBorders>
            <w:shd w:val="clear" w:color="auto" w:fill="F2F2F2" w:themeFill="background1" w:themeFillShade="F2"/>
            <w:vAlign w:val="center"/>
          </w:tcPr>
          <w:p w14:paraId="33F394BB" w14:textId="77777777" w:rsidR="00001970" w:rsidRPr="00667773" w:rsidRDefault="00001970" w:rsidP="0001328E">
            <w:pPr>
              <w:pStyle w:val="Heading3"/>
              <w:jc w:val="center"/>
              <w:rPr>
                <w:sz w:val="18"/>
                <w:szCs w:val="18"/>
              </w:rPr>
            </w:pPr>
            <w:r w:rsidRPr="00667773">
              <w:rPr>
                <w:sz w:val="18"/>
                <w:szCs w:val="18"/>
              </w:rPr>
              <w:t>Academic II</w:t>
            </w:r>
          </w:p>
          <w:p w14:paraId="0B9F88E3" w14:textId="214251F7" w:rsidR="00001970" w:rsidRPr="00667773" w:rsidRDefault="00001970" w:rsidP="00001970">
            <w:pPr>
              <w:pStyle w:val="Heading4"/>
              <w:spacing w:before="0"/>
              <w:jc w:val="center"/>
              <w:rPr>
                <w:sz w:val="18"/>
                <w:szCs w:val="18"/>
              </w:rPr>
            </w:pPr>
            <w:r w:rsidRPr="00667773">
              <w:rPr>
                <w:sz w:val="18"/>
                <w:szCs w:val="18"/>
              </w:rPr>
              <w:t>Choose at least one</w:t>
            </w:r>
          </w:p>
        </w:tc>
        <w:tc>
          <w:tcPr>
            <w:tcW w:w="2231" w:type="dxa"/>
            <w:tcBorders>
              <w:top w:val="thinThickSmallGap" w:sz="12" w:space="0" w:color="auto"/>
              <w:left w:val="thinThickSmallGap" w:sz="12" w:space="0" w:color="auto"/>
              <w:bottom w:val="dotted" w:sz="4" w:space="0" w:color="auto"/>
              <w:right w:val="thinThickSmallGap" w:sz="12" w:space="0" w:color="auto"/>
            </w:tcBorders>
            <w:shd w:val="clear" w:color="auto" w:fill="F2F2F2" w:themeFill="background1" w:themeFillShade="F2"/>
            <w:vAlign w:val="center"/>
          </w:tcPr>
          <w:p w14:paraId="75E8BC0C" w14:textId="77777777" w:rsidR="00001970" w:rsidRPr="00667773" w:rsidRDefault="00001970" w:rsidP="0001328E">
            <w:pPr>
              <w:pStyle w:val="Heading3"/>
              <w:jc w:val="center"/>
              <w:rPr>
                <w:sz w:val="18"/>
                <w:szCs w:val="18"/>
              </w:rPr>
            </w:pPr>
            <w:r w:rsidRPr="00667773">
              <w:rPr>
                <w:sz w:val="18"/>
                <w:szCs w:val="18"/>
              </w:rPr>
              <w:t>Academic Growth</w:t>
            </w:r>
          </w:p>
          <w:p w14:paraId="02531DC6" w14:textId="7C8313FD" w:rsidR="00001970" w:rsidRPr="00667773" w:rsidRDefault="00001970" w:rsidP="00001970">
            <w:pPr>
              <w:pStyle w:val="Heading4"/>
              <w:spacing w:before="0"/>
              <w:jc w:val="center"/>
              <w:rPr>
                <w:sz w:val="18"/>
                <w:szCs w:val="18"/>
              </w:rPr>
            </w:pPr>
            <w:r w:rsidRPr="00667773">
              <w:rPr>
                <w:sz w:val="18"/>
                <w:szCs w:val="18"/>
              </w:rPr>
              <w:t>Choose two</w:t>
            </w:r>
          </w:p>
        </w:tc>
        <w:tc>
          <w:tcPr>
            <w:tcW w:w="2378" w:type="dxa"/>
            <w:tcBorders>
              <w:top w:val="thinThickSmallGap" w:sz="12" w:space="0" w:color="auto"/>
              <w:left w:val="thinThickSmallGap" w:sz="12" w:space="0" w:color="auto"/>
              <w:bottom w:val="dotted" w:sz="4" w:space="0" w:color="auto"/>
              <w:right w:val="thinThickSmallGap" w:sz="12" w:space="0" w:color="auto"/>
            </w:tcBorders>
            <w:shd w:val="clear" w:color="auto" w:fill="F2F2F2" w:themeFill="background1" w:themeFillShade="F2"/>
            <w:vAlign w:val="center"/>
          </w:tcPr>
          <w:p w14:paraId="3E93AA6C" w14:textId="77777777" w:rsidR="00001970" w:rsidRPr="00667773" w:rsidRDefault="00001970" w:rsidP="0001328E">
            <w:pPr>
              <w:pStyle w:val="Heading3"/>
              <w:jc w:val="center"/>
              <w:rPr>
                <w:sz w:val="18"/>
                <w:szCs w:val="18"/>
              </w:rPr>
            </w:pPr>
            <w:r w:rsidRPr="00667773">
              <w:rPr>
                <w:sz w:val="18"/>
                <w:szCs w:val="18"/>
              </w:rPr>
              <w:t>School Success and Quality</w:t>
            </w:r>
          </w:p>
          <w:p w14:paraId="09A6B4B1" w14:textId="77777777" w:rsidR="00001970" w:rsidRPr="00667773" w:rsidRDefault="00001970" w:rsidP="00001970">
            <w:pPr>
              <w:pStyle w:val="Heading4"/>
              <w:spacing w:before="0"/>
              <w:jc w:val="center"/>
              <w:rPr>
                <w:sz w:val="18"/>
                <w:szCs w:val="18"/>
              </w:rPr>
            </w:pPr>
            <w:r w:rsidRPr="00667773">
              <w:rPr>
                <w:sz w:val="18"/>
                <w:szCs w:val="18"/>
              </w:rPr>
              <w:t>Choose at least one</w:t>
            </w:r>
          </w:p>
          <w:p w14:paraId="49A9D5F9" w14:textId="41FDCDB2" w:rsidR="00001970" w:rsidRPr="00667773" w:rsidRDefault="00001970" w:rsidP="00001970">
            <w:pPr>
              <w:rPr>
                <w:sz w:val="18"/>
                <w:szCs w:val="18"/>
              </w:rPr>
            </w:pPr>
          </w:p>
        </w:tc>
        <w:tc>
          <w:tcPr>
            <w:tcW w:w="2155" w:type="dxa"/>
            <w:tcBorders>
              <w:top w:val="thinThickSmallGap" w:sz="12" w:space="0" w:color="auto"/>
              <w:left w:val="thinThickSmallGap" w:sz="12" w:space="0" w:color="auto"/>
              <w:bottom w:val="dotted" w:sz="4" w:space="0" w:color="auto"/>
              <w:right w:val="thinThickSmallGap" w:sz="12" w:space="0" w:color="auto"/>
            </w:tcBorders>
            <w:shd w:val="clear" w:color="auto" w:fill="F2F2F2" w:themeFill="background1" w:themeFillShade="F2"/>
            <w:vAlign w:val="center"/>
          </w:tcPr>
          <w:p w14:paraId="40C9050C" w14:textId="77777777" w:rsidR="00001970" w:rsidRPr="00667773" w:rsidRDefault="00001970" w:rsidP="00B9510C">
            <w:pPr>
              <w:pStyle w:val="Heading3"/>
              <w:jc w:val="center"/>
              <w:rPr>
                <w:sz w:val="18"/>
                <w:szCs w:val="18"/>
              </w:rPr>
            </w:pPr>
            <w:r w:rsidRPr="00667773">
              <w:rPr>
                <w:sz w:val="18"/>
                <w:szCs w:val="18"/>
              </w:rPr>
              <w:t>All Students Achieve</w:t>
            </w:r>
          </w:p>
          <w:p w14:paraId="13828F46" w14:textId="7AD37FF6" w:rsidR="00001970" w:rsidRPr="00667773" w:rsidRDefault="00001970" w:rsidP="00001970">
            <w:pPr>
              <w:pStyle w:val="Heading4"/>
              <w:spacing w:before="0"/>
              <w:jc w:val="center"/>
              <w:rPr>
                <w:sz w:val="18"/>
                <w:szCs w:val="18"/>
              </w:rPr>
            </w:pPr>
            <w:r w:rsidRPr="00667773">
              <w:rPr>
                <w:sz w:val="18"/>
                <w:szCs w:val="18"/>
              </w:rPr>
              <w:t>Choose two</w:t>
            </w:r>
          </w:p>
        </w:tc>
      </w:tr>
      <w:tr w:rsidR="00001970" w14:paraId="347C8722" w14:textId="77777777" w:rsidTr="00001970">
        <w:trPr>
          <w:tblCellSpacing w:w="14" w:type="dxa"/>
        </w:trPr>
        <w:tc>
          <w:tcPr>
            <w:tcW w:w="1881" w:type="dxa"/>
            <w:tcBorders>
              <w:top w:val="thinThickSmallGap" w:sz="12" w:space="0" w:color="auto"/>
              <w:left w:val="thinThickSmallGap" w:sz="12" w:space="0" w:color="auto"/>
              <w:right w:val="thinThickSmallGap" w:sz="12" w:space="0" w:color="auto"/>
            </w:tcBorders>
          </w:tcPr>
          <w:p w14:paraId="31A5A3B5" w14:textId="4BA2C606" w:rsidR="00001970" w:rsidRPr="003446A8" w:rsidRDefault="00001970" w:rsidP="0001328E">
            <w:pPr>
              <w:jc w:val="center"/>
              <w:rPr>
                <w:sz w:val="16"/>
                <w:szCs w:val="16"/>
              </w:rPr>
            </w:pPr>
            <w:r>
              <w:rPr>
                <w:sz w:val="16"/>
                <w:szCs w:val="16"/>
              </w:rPr>
              <w:t>Growth in students proficient or above in math and reading</w:t>
            </w:r>
          </w:p>
        </w:tc>
        <w:tc>
          <w:tcPr>
            <w:tcW w:w="2153" w:type="dxa"/>
            <w:tcBorders>
              <w:top w:val="thinThickSmallGap" w:sz="12" w:space="0" w:color="auto"/>
              <w:left w:val="thinThickSmallGap" w:sz="12" w:space="0" w:color="auto"/>
              <w:right w:val="thinThickSmallGap" w:sz="12" w:space="0" w:color="auto"/>
            </w:tcBorders>
          </w:tcPr>
          <w:p w14:paraId="49E56C0C" w14:textId="7207D5E5" w:rsidR="00001970" w:rsidRPr="003446A8" w:rsidRDefault="00001970" w:rsidP="0001328E">
            <w:pPr>
              <w:jc w:val="center"/>
              <w:rPr>
                <w:sz w:val="16"/>
                <w:szCs w:val="16"/>
              </w:rPr>
            </w:pPr>
            <w:r w:rsidRPr="003446A8">
              <w:rPr>
                <w:sz w:val="16"/>
                <w:szCs w:val="16"/>
              </w:rPr>
              <w:t>Percentage of students proficient or above in math and reading on state assessment</w:t>
            </w:r>
          </w:p>
        </w:tc>
        <w:tc>
          <w:tcPr>
            <w:tcW w:w="2372" w:type="dxa"/>
            <w:tcBorders>
              <w:top w:val="thinThickSmallGap" w:sz="12" w:space="0" w:color="auto"/>
              <w:left w:val="thinThickSmallGap" w:sz="12" w:space="0" w:color="auto"/>
              <w:right w:val="thinThickSmallGap" w:sz="12" w:space="0" w:color="auto"/>
            </w:tcBorders>
          </w:tcPr>
          <w:p w14:paraId="016EEB45" w14:textId="0E033DE9" w:rsidR="00001970" w:rsidRPr="003446A8" w:rsidRDefault="00001970" w:rsidP="0001328E">
            <w:pPr>
              <w:jc w:val="center"/>
              <w:rPr>
                <w:sz w:val="16"/>
                <w:szCs w:val="16"/>
              </w:rPr>
            </w:pPr>
            <w:r w:rsidRPr="003446A8">
              <w:rPr>
                <w:sz w:val="16"/>
                <w:szCs w:val="16"/>
              </w:rPr>
              <w:t>Percentage of students proficient or above in science</w:t>
            </w:r>
          </w:p>
        </w:tc>
        <w:tc>
          <w:tcPr>
            <w:tcW w:w="2231" w:type="dxa"/>
            <w:tcBorders>
              <w:top w:val="thinThickSmallGap" w:sz="12" w:space="0" w:color="auto"/>
              <w:left w:val="thinThickSmallGap" w:sz="12" w:space="0" w:color="auto"/>
              <w:right w:val="thinThickSmallGap" w:sz="12" w:space="0" w:color="auto"/>
            </w:tcBorders>
          </w:tcPr>
          <w:p w14:paraId="1744608E" w14:textId="635CB50B" w:rsidR="00001970" w:rsidRPr="003446A8" w:rsidRDefault="00001970" w:rsidP="0001328E">
            <w:pPr>
              <w:jc w:val="center"/>
              <w:rPr>
                <w:sz w:val="16"/>
                <w:szCs w:val="16"/>
              </w:rPr>
            </w:pPr>
            <w:r w:rsidRPr="003446A8">
              <w:rPr>
                <w:sz w:val="16"/>
                <w:szCs w:val="16"/>
              </w:rPr>
              <w:t>Percentage of students who move from basic to proficient or above in reading or math in one academic year</w:t>
            </w:r>
          </w:p>
        </w:tc>
        <w:tc>
          <w:tcPr>
            <w:tcW w:w="2378" w:type="dxa"/>
            <w:tcBorders>
              <w:top w:val="thinThickSmallGap" w:sz="12" w:space="0" w:color="auto"/>
              <w:left w:val="thinThickSmallGap" w:sz="12" w:space="0" w:color="auto"/>
              <w:right w:val="thinThickSmallGap" w:sz="12" w:space="0" w:color="auto"/>
            </w:tcBorders>
          </w:tcPr>
          <w:p w14:paraId="4E9517ED" w14:textId="48C3BAE2" w:rsidR="00001970" w:rsidRPr="00923BEF" w:rsidRDefault="00001970" w:rsidP="00923BEF">
            <w:pPr>
              <w:jc w:val="center"/>
              <w:rPr>
                <w:sz w:val="16"/>
                <w:szCs w:val="16"/>
              </w:rPr>
            </w:pPr>
            <w:r w:rsidRPr="003446A8">
              <w:rPr>
                <w:sz w:val="16"/>
                <w:szCs w:val="16"/>
              </w:rPr>
              <w:t>Percentage of students who complete advanced coursework or an experiential/laboratory learning course</w:t>
            </w:r>
          </w:p>
        </w:tc>
        <w:tc>
          <w:tcPr>
            <w:tcW w:w="2155" w:type="dxa"/>
            <w:tcBorders>
              <w:top w:val="thinThickSmallGap" w:sz="12" w:space="0" w:color="auto"/>
              <w:left w:val="thinThickSmallGap" w:sz="12" w:space="0" w:color="auto"/>
              <w:right w:val="thinThickSmallGap" w:sz="12" w:space="0" w:color="auto"/>
            </w:tcBorders>
          </w:tcPr>
          <w:p w14:paraId="612A72A1" w14:textId="272AA29E" w:rsidR="00001970" w:rsidRPr="003446A8" w:rsidRDefault="00001970" w:rsidP="0001328E">
            <w:pPr>
              <w:jc w:val="center"/>
              <w:rPr>
                <w:sz w:val="16"/>
                <w:szCs w:val="16"/>
              </w:rPr>
            </w:pPr>
            <w:r w:rsidRPr="003446A8">
              <w:rPr>
                <w:sz w:val="16"/>
                <w:szCs w:val="16"/>
              </w:rPr>
              <w:t>Percentage point decrease in achievement gap in reading and math among students in all subgroups or between students in two targeted subgroups and the highest-performing subgroup</w:t>
            </w:r>
          </w:p>
        </w:tc>
      </w:tr>
      <w:tr w:rsidR="00001970" w14:paraId="78A16E85" w14:textId="77777777" w:rsidTr="00667773">
        <w:trPr>
          <w:tblCellSpacing w:w="14" w:type="dxa"/>
        </w:trPr>
        <w:tc>
          <w:tcPr>
            <w:tcW w:w="1881" w:type="dxa"/>
            <w:tcBorders>
              <w:top w:val="thinThickSmallGap" w:sz="12" w:space="0" w:color="auto"/>
              <w:left w:val="thinThickSmallGap" w:sz="12" w:space="0" w:color="auto"/>
              <w:right w:val="thinThickSmallGap" w:sz="12" w:space="0" w:color="auto"/>
            </w:tcBorders>
            <w:shd w:val="clear" w:color="auto" w:fill="F2F2F2" w:themeFill="background1" w:themeFillShade="F2"/>
            <w:vAlign w:val="center"/>
          </w:tcPr>
          <w:p w14:paraId="24956F7D" w14:textId="77777777" w:rsidR="00001970" w:rsidRPr="00667773" w:rsidRDefault="00001970" w:rsidP="00667773">
            <w:pPr>
              <w:pStyle w:val="Heading3"/>
              <w:spacing w:before="0"/>
              <w:jc w:val="center"/>
              <w:rPr>
                <w:sz w:val="18"/>
                <w:szCs w:val="18"/>
              </w:rPr>
            </w:pPr>
            <w:r w:rsidRPr="00667773">
              <w:rPr>
                <w:sz w:val="18"/>
                <w:szCs w:val="18"/>
              </w:rPr>
              <w:t>Subgroup Performance</w:t>
            </w:r>
          </w:p>
          <w:p w14:paraId="4A16FC7A" w14:textId="40E926C5" w:rsidR="00001970" w:rsidRPr="003446A8" w:rsidRDefault="00667773" w:rsidP="00667773">
            <w:pPr>
              <w:pStyle w:val="Heading4"/>
              <w:spacing w:before="0"/>
              <w:jc w:val="center"/>
              <w:rPr>
                <w:sz w:val="16"/>
                <w:szCs w:val="16"/>
              </w:rPr>
            </w:pPr>
            <w:r w:rsidRPr="00667773">
              <w:rPr>
                <w:sz w:val="18"/>
                <w:szCs w:val="18"/>
              </w:rPr>
              <w:t>Required</w:t>
            </w:r>
          </w:p>
        </w:tc>
        <w:tc>
          <w:tcPr>
            <w:tcW w:w="2153" w:type="dxa"/>
            <w:tcBorders>
              <w:left w:val="thinThickSmallGap" w:sz="12" w:space="0" w:color="auto"/>
              <w:right w:val="thinThickSmallGap" w:sz="12" w:space="0" w:color="auto"/>
            </w:tcBorders>
          </w:tcPr>
          <w:p w14:paraId="2858F014" w14:textId="3A8637C9" w:rsidR="00001970" w:rsidRPr="003446A8" w:rsidRDefault="00001970" w:rsidP="003570CF">
            <w:pPr>
              <w:jc w:val="center"/>
              <w:rPr>
                <w:sz w:val="16"/>
                <w:szCs w:val="16"/>
              </w:rPr>
            </w:pPr>
            <w:r w:rsidRPr="003446A8">
              <w:rPr>
                <w:sz w:val="16"/>
                <w:szCs w:val="16"/>
              </w:rPr>
              <w:t xml:space="preserve">Percentage of students proficient or above in math and reading on </w:t>
            </w:r>
            <w:r>
              <w:rPr>
                <w:sz w:val="16"/>
                <w:szCs w:val="16"/>
              </w:rPr>
              <w:t xml:space="preserve">state-approved, </w:t>
            </w:r>
            <w:r w:rsidRPr="003446A8">
              <w:rPr>
                <w:sz w:val="16"/>
                <w:szCs w:val="16"/>
              </w:rPr>
              <w:t xml:space="preserve">norm-referenced assessment (e.g. </w:t>
            </w:r>
            <w:r>
              <w:rPr>
                <w:sz w:val="16"/>
                <w:szCs w:val="16"/>
              </w:rPr>
              <w:t xml:space="preserve">SAT-10, </w:t>
            </w:r>
            <w:r w:rsidRPr="003446A8">
              <w:rPr>
                <w:sz w:val="16"/>
                <w:szCs w:val="16"/>
              </w:rPr>
              <w:t>NAEP)</w:t>
            </w:r>
          </w:p>
        </w:tc>
        <w:tc>
          <w:tcPr>
            <w:tcW w:w="2372" w:type="dxa"/>
            <w:tcBorders>
              <w:left w:val="thinThickSmallGap" w:sz="12" w:space="0" w:color="auto"/>
              <w:right w:val="thinThickSmallGap" w:sz="12" w:space="0" w:color="auto"/>
            </w:tcBorders>
          </w:tcPr>
          <w:p w14:paraId="76FF091A" w14:textId="77F21910" w:rsidR="00001970" w:rsidRPr="003446A8" w:rsidRDefault="00001970" w:rsidP="0001328E">
            <w:pPr>
              <w:jc w:val="center"/>
              <w:rPr>
                <w:sz w:val="16"/>
                <w:szCs w:val="16"/>
              </w:rPr>
            </w:pPr>
            <w:r w:rsidRPr="003446A8">
              <w:rPr>
                <w:sz w:val="16"/>
                <w:szCs w:val="16"/>
              </w:rPr>
              <w:t>Percentage of students proficient or above in social studies</w:t>
            </w:r>
          </w:p>
        </w:tc>
        <w:tc>
          <w:tcPr>
            <w:tcW w:w="2231" w:type="dxa"/>
            <w:tcBorders>
              <w:left w:val="thinThickSmallGap" w:sz="12" w:space="0" w:color="auto"/>
              <w:right w:val="thinThickSmallGap" w:sz="12" w:space="0" w:color="auto"/>
            </w:tcBorders>
          </w:tcPr>
          <w:p w14:paraId="310D227B" w14:textId="4FA5FA53" w:rsidR="00001970" w:rsidRPr="003446A8" w:rsidRDefault="00001970" w:rsidP="0001328E">
            <w:pPr>
              <w:jc w:val="center"/>
              <w:rPr>
                <w:sz w:val="16"/>
                <w:szCs w:val="16"/>
              </w:rPr>
            </w:pPr>
            <w:r w:rsidRPr="003446A8">
              <w:rPr>
                <w:sz w:val="16"/>
                <w:szCs w:val="16"/>
              </w:rPr>
              <w:t>Percentage of students who move from proficient to advanced in reading or math in one academic year</w:t>
            </w:r>
          </w:p>
        </w:tc>
        <w:tc>
          <w:tcPr>
            <w:tcW w:w="2378" w:type="dxa"/>
            <w:tcBorders>
              <w:left w:val="thinThickSmallGap" w:sz="12" w:space="0" w:color="auto"/>
              <w:right w:val="thinThickSmallGap" w:sz="12" w:space="0" w:color="auto"/>
            </w:tcBorders>
          </w:tcPr>
          <w:p w14:paraId="5FF0A239" w14:textId="228D11F3" w:rsidR="00001970" w:rsidRPr="003446A8" w:rsidRDefault="00001970" w:rsidP="0001328E">
            <w:pPr>
              <w:jc w:val="center"/>
              <w:rPr>
                <w:sz w:val="16"/>
                <w:szCs w:val="16"/>
              </w:rPr>
            </w:pPr>
            <w:r w:rsidRPr="003446A8">
              <w:rPr>
                <w:sz w:val="16"/>
                <w:szCs w:val="16"/>
              </w:rPr>
              <w:t>Overall percentage of time missed by students due to out-of-class or out-of-school discipline</w:t>
            </w:r>
          </w:p>
        </w:tc>
        <w:tc>
          <w:tcPr>
            <w:tcW w:w="2155" w:type="dxa"/>
            <w:tcBorders>
              <w:left w:val="thinThickSmallGap" w:sz="12" w:space="0" w:color="auto"/>
              <w:right w:val="thinThickSmallGap" w:sz="12" w:space="0" w:color="auto"/>
            </w:tcBorders>
          </w:tcPr>
          <w:p w14:paraId="2D8C40DF" w14:textId="4CA6F5F0" w:rsidR="00001970" w:rsidRPr="003446A8" w:rsidRDefault="00001970" w:rsidP="0001328E">
            <w:pPr>
              <w:jc w:val="center"/>
              <w:rPr>
                <w:sz w:val="16"/>
                <w:szCs w:val="16"/>
              </w:rPr>
            </w:pPr>
            <w:r w:rsidRPr="003446A8">
              <w:rPr>
                <w:sz w:val="16"/>
                <w:szCs w:val="16"/>
              </w:rPr>
              <w:t>Percentage point decrease in achievement gap in reading and math between students performing in top and bottom quartiles</w:t>
            </w:r>
          </w:p>
        </w:tc>
      </w:tr>
      <w:tr w:rsidR="00001970" w14:paraId="26A47382" w14:textId="77777777" w:rsidTr="00667773">
        <w:trPr>
          <w:tblCellSpacing w:w="14" w:type="dxa"/>
        </w:trPr>
        <w:tc>
          <w:tcPr>
            <w:tcW w:w="1881" w:type="dxa"/>
            <w:tcBorders>
              <w:top w:val="thinThickSmallGap" w:sz="12" w:space="0" w:color="auto"/>
              <w:left w:val="thinThickSmallGap" w:sz="12" w:space="0" w:color="auto"/>
              <w:bottom w:val="thinThickSmallGap" w:sz="12" w:space="0" w:color="auto"/>
              <w:right w:val="thinThickSmallGap" w:sz="12" w:space="0" w:color="auto"/>
            </w:tcBorders>
          </w:tcPr>
          <w:p w14:paraId="3AA90209" w14:textId="69786383" w:rsidR="00001970" w:rsidRDefault="00001970" w:rsidP="0001328E">
            <w:pPr>
              <w:jc w:val="center"/>
              <w:rPr>
                <w:sz w:val="16"/>
                <w:szCs w:val="16"/>
              </w:rPr>
            </w:pPr>
            <w:r>
              <w:rPr>
                <w:sz w:val="18"/>
                <w:szCs w:val="18"/>
              </w:rPr>
              <w:t>Percentage of students proficient in math and reading in all subgroups</w:t>
            </w:r>
          </w:p>
        </w:tc>
        <w:tc>
          <w:tcPr>
            <w:tcW w:w="2153" w:type="dxa"/>
            <w:tcBorders>
              <w:left w:val="thinThickSmallGap" w:sz="12" w:space="0" w:color="auto"/>
              <w:right w:val="thinThickSmallGap" w:sz="12" w:space="0" w:color="auto"/>
            </w:tcBorders>
          </w:tcPr>
          <w:p w14:paraId="6419D768" w14:textId="6EE0A1B8" w:rsidR="00001970" w:rsidRPr="003446A8" w:rsidRDefault="00001970" w:rsidP="0001328E">
            <w:pPr>
              <w:jc w:val="center"/>
              <w:rPr>
                <w:sz w:val="16"/>
                <w:szCs w:val="16"/>
              </w:rPr>
            </w:pPr>
            <w:r>
              <w:rPr>
                <w:sz w:val="16"/>
                <w:szCs w:val="16"/>
              </w:rPr>
              <w:t>Percentage of students proficient or above on to-be-determined early elementary state assessment</w:t>
            </w:r>
          </w:p>
        </w:tc>
        <w:tc>
          <w:tcPr>
            <w:tcW w:w="2372" w:type="dxa"/>
            <w:tcBorders>
              <w:left w:val="thinThickSmallGap" w:sz="12" w:space="0" w:color="auto"/>
              <w:right w:val="thinThickSmallGap" w:sz="12" w:space="0" w:color="auto"/>
            </w:tcBorders>
          </w:tcPr>
          <w:p w14:paraId="4E698A9F" w14:textId="695BAF03" w:rsidR="00001970" w:rsidRPr="003446A8" w:rsidRDefault="00001970" w:rsidP="0001328E">
            <w:pPr>
              <w:jc w:val="center"/>
              <w:rPr>
                <w:sz w:val="16"/>
                <w:szCs w:val="16"/>
              </w:rPr>
            </w:pPr>
            <w:r w:rsidRPr="003446A8">
              <w:rPr>
                <w:sz w:val="16"/>
                <w:szCs w:val="16"/>
              </w:rPr>
              <w:t>Percentage of students proficient or above in music or arts</w:t>
            </w:r>
          </w:p>
        </w:tc>
        <w:tc>
          <w:tcPr>
            <w:tcW w:w="2231" w:type="dxa"/>
            <w:tcBorders>
              <w:left w:val="thinThickSmallGap" w:sz="12" w:space="0" w:color="auto"/>
              <w:right w:val="thinThickSmallGap" w:sz="12" w:space="0" w:color="auto"/>
            </w:tcBorders>
          </w:tcPr>
          <w:p w14:paraId="41F7C76F" w14:textId="0FDFF5FD" w:rsidR="00001970" w:rsidRPr="003446A8" w:rsidRDefault="00001970" w:rsidP="0001328E">
            <w:pPr>
              <w:jc w:val="center"/>
              <w:rPr>
                <w:sz w:val="16"/>
                <w:szCs w:val="16"/>
              </w:rPr>
            </w:pPr>
            <w:r w:rsidRPr="003446A8">
              <w:rPr>
                <w:sz w:val="16"/>
                <w:szCs w:val="16"/>
              </w:rPr>
              <w:t>Growth in percentage of 3</w:t>
            </w:r>
            <w:r w:rsidRPr="003446A8">
              <w:rPr>
                <w:sz w:val="16"/>
                <w:szCs w:val="16"/>
                <w:vertAlign w:val="superscript"/>
              </w:rPr>
              <w:t>rd</w:t>
            </w:r>
            <w:r w:rsidRPr="003446A8">
              <w:rPr>
                <w:sz w:val="16"/>
                <w:szCs w:val="16"/>
              </w:rPr>
              <w:t xml:space="preserve"> graders proficient and above in reading</w:t>
            </w:r>
          </w:p>
        </w:tc>
        <w:tc>
          <w:tcPr>
            <w:tcW w:w="2378" w:type="dxa"/>
            <w:tcBorders>
              <w:left w:val="thinThickSmallGap" w:sz="12" w:space="0" w:color="auto"/>
              <w:right w:val="thinThickSmallGap" w:sz="12" w:space="0" w:color="auto"/>
            </w:tcBorders>
          </w:tcPr>
          <w:p w14:paraId="59AAC6B6" w14:textId="4B73CFFA" w:rsidR="00001970" w:rsidRPr="003446A8" w:rsidRDefault="00001970" w:rsidP="0001328E">
            <w:pPr>
              <w:jc w:val="center"/>
              <w:rPr>
                <w:sz w:val="16"/>
                <w:szCs w:val="16"/>
              </w:rPr>
            </w:pPr>
            <w:r w:rsidRPr="003446A8">
              <w:rPr>
                <w:sz w:val="16"/>
                <w:szCs w:val="16"/>
              </w:rPr>
              <w:t>Growth in educator evaluation ratings in one academic year</w:t>
            </w:r>
          </w:p>
        </w:tc>
        <w:tc>
          <w:tcPr>
            <w:tcW w:w="2155" w:type="dxa"/>
            <w:tcBorders>
              <w:left w:val="thinThickSmallGap" w:sz="12" w:space="0" w:color="auto"/>
              <w:right w:val="thinThickSmallGap" w:sz="12" w:space="0" w:color="auto"/>
            </w:tcBorders>
          </w:tcPr>
          <w:p w14:paraId="079628B6" w14:textId="45FBE5A4" w:rsidR="00001970" w:rsidRPr="003446A8" w:rsidRDefault="00001970" w:rsidP="0001328E">
            <w:pPr>
              <w:jc w:val="center"/>
              <w:rPr>
                <w:sz w:val="16"/>
                <w:szCs w:val="16"/>
              </w:rPr>
            </w:pPr>
            <w:r w:rsidRPr="003446A8">
              <w:rPr>
                <w:sz w:val="16"/>
                <w:szCs w:val="16"/>
              </w:rPr>
              <w:t>Percentage point gap between rates of student discipline between white and non-white students</w:t>
            </w:r>
          </w:p>
        </w:tc>
      </w:tr>
      <w:tr w:rsidR="00001970" w14:paraId="7A9ECAD3" w14:textId="77777777" w:rsidTr="00667773">
        <w:trPr>
          <w:tblCellSpacing w:w="14" w:type="dxa"/>
        </w:trPr>
        <w:tc>
          <w:tcPr>
            <w:tcW w:w="1881" w:type="dxa"/>
            <w:tcBorders>
              <w:left w:val="thinThickSmallGap" w:sz="12" w:space="0" w:color="auto"/>
              <w:right w:val="thinThickSmallGap" w:sz="12" w:space="0" w:color="auto"/>
            </w:tcBorders>
            <w:shd w:val="clear" w:color="auto" w:fill="F2F2F2" w:themeFill="background1" w:themeFillShade="F2"/>
            <w:vAlign w:val="center"/>
          </w:tcPr>
          <w:p w14:paraId="7D5491B6" w14:textId="77777777" w:rsidR="00001970" w:rsidRPr="00667773" w:rsidRDefault="00001970" w:rsidP="00667773">
            <w:pPr>
              <w:pStyle w:val="Heading3"/>
              <w:spacing w:before="0"/>
              <w:jc w:val="center"/>
              <w:rPr>
                <w:sz w:val="18"/>
                <w:szCs w:val="18"/>
              </w:rPr>
            </w:pPr>
            <w:r w:rsidRPr="00667773">
              <w:rPr>
                <w:sz w:val="18"/>
                <w:szCs w:val="18"/>
              </w:rPr>
              <w:t>Progress Toward English Language Proficiency</w:t>
            </w:r>
          </w:p>
          <w:p w14:paraId="4B81186D" w14:textId="3292E4AA" w:rsidR="00667773" w:rsidRPr="00667773" w:rsidRDefault="00667773" w:rsidP="00667773">
            <w:pPr>
              <w:pStyle w:val="Heading4"/>
              <w:spacing w:before="0"/>
              <w:jc w:val="center"/>
              <w:rPr>
                <w:sz w:val="18"/>
                <w:szCs w:val="18"/>
              </w:rPr>
            </w:pPr>
            <w:r w:rsidRPr="00667773">
              <w:rPr>
                <w:sz w:val="18"/>
                <w:szCs w:val="18"/>
              </w:rPr>
              <w:t>Required</w:t>
            </w:r>
          </w:p>
          <w:p w14:paraId="5CEFA8BE" w14:textId="77777777" w:rsidR="00001970" w:rsidRPr="003446A8" w:rsidRDefault="00001970" w:rsidP="00667773">
            <w:pPr>
              <w:jc w:val="center"/>
              <w:rPr>
                <w:sz w:val="16"/>
                <w:szCs w:val="16"/>
              </w:rPr>
            </w:pPr>
          </w:p>
        </w:tc>
        <w:tc>
          <w:tcPr>
            <w:tcW w:w="2153" w:type="dxa"/>
            <w:tcBorders>
              <w:left w:val="thinThickSmallGap" w:sz="12" w:space="0" w:color="auto"/>
              <w:right w:val="thinThickSmallGap" w:sz="12" w:space="0" w:color="auto"/>
            </w:tcBorders>
          </w:tcPr>
          <w:p w14:paraId="018B919C" w14:textId="00BFE638" w:rsidR="00001970" w:rsidRPr="003446A8" w:rsidRDefault="00001970" w:rsidP="0001328E">
            <w:pPr>
              <w:jc w:val="center"/>
              <w:rPr>
                <w:sz w:val="16"/>
                <w:szCs w:val="16"/>
              </w:rPr>
            </w:pPr>
          </w:p>
        </w:tc>
        <w:tc>
          <w:tcPr>
            <w:tcW w:w="2372" w:type="dxa"/>
            <w:tcBorders>
              <w:left w:val="thinThickSmallGap" w:sz="12" w:space="0" w:color="auto"/>
              <w:right w:val="thinThickSmallGap" w:sz="12" w:space="0" w:color="auto"/>
            </w:tcBorders>
          </w:tcPr>
          <w:p w14:paraId="625DC019" w14:textId="5825784F" w:rsidR="00001970" w:rsidRPr="003446A8" w:rsidRDefault="00001970" w:rsidP="0001328E">
            <w:pPr>
              <w:jc w:val="center"/>
              <w:rPr>
                <w:sz w:val="16"/>
                <w:szCs w:val="16"/>
              </w:rPr>
            </w:pPr>
            <w:r>
              <w:rPr>
                <w:sz w:val="16"/>
                <w:szCs w:val="16"/>
              </w:rPr>
              <w:t>Percentage of students who are advanced in science, social studies, music, or arts</w:t>
            </w:r>
          </w:p>
        </w:tc>
        <w:tc>
          <w:tcPr>
            <w:tcW w:w="2231" w:type="dxa"/>
            <w:tcBorders>
              <w:left w:val="thinThickSmallGap" w:sz="12" w:space="0" w:color="auto"/>
              <w:right w:val="thinThickSmallGap" w:sz="12" w:space="0" w:color="auto"/>
            </w:tcBorders>
          </w:tcPr>
          <w:p w14:paraId="419F624A" w14:textId="1DECA62E" w:rsidR="00001970" w:rsidRPr="003446A8" w:rsidRDefault="00001970" w:rsidP="0001328E">
            <w:pPr>
              <w:jc w:val="center"/>
              <w:rPr>
                <w:sz w:val="16"/>
                <w:szCs w:val="16"/>
              </w:rPr>
            </w:pPr>
            <w:r w:rsidRPr="003446A8">
              <w:rPr>
                <w:sz w:val="16"/>
                <w:szCs w:val="16"/>
              </w:rPr>
              <w:t>Longitudinal growth in reading proficiency among students matriculating from Kindergarten to 3</w:t>
            </w:r>
            <w:r w:rsidRPr="003446A8">
              <w:rPr>
                <w:sz w:val="16"/>
                <w:szCs w:val="16"/>
                <w:vertAlign w:val="superscript"/>
              </w:rPr>
              <w:t>rd</w:t>
            </w:r>
            <w:r w:rsidRPr="003446A8">
              <w:rPr>
                <w:sz w:val="16"/>
                <w:szCs w:val="16"/>
              </w:rPr>
              <w:t xml:space="preserve"> grade</w:t>
            </w:r>
          </w:p>
        </w:tc>
        <w:tc>
          <w:tcPr>
            <w:tcW w:w="2378" w:type="dxa"/>
            <w:tcBorders>
              <w:left w:val="thinThickSmallGap" w:sz="12" w:space="0" w:color="auto"/>
              <w:right w:val="thinThickSmallGap" w:sz="12" w:space="0" w:color="auto"/>
            </w:tcBorders>
          </w:tcPr>
          <w:p w14:paraId="1A8A82B5" w14:textId="0959C0E6" w:rsidR="00001970" w:rsidRPr="003446A8" w:rsidRDefault="00001970" w:rsidP="0001328E">
            <w:pPr>
              <w:jc w:val="center"/>
              <w:rPr>
                <w:sz w:val="16"/>
                <w:szCs w:val="16"/>
              </w:rPr>
            </w:pPr>
            <w:r w:rsidRPr="003446A8">
              <w:rPr>
                <w:sz w:val="16"/>
                <w:szCs w:val="16"/>
              </w:rPr>
              <w:t>Percentage of students assigned to an educator rated effective or higher</w:t>
            </w:r>
          </w:p>
        </w:tc>
        <w:tc>
          <w:tcPr>
            <w:tcW w:w="2155" w:type="dxa"/>
            <w:tcBorders>
              <w:left w:val="thinThickSmallGap" w:sz="12" w:space="0" w:color="auto"/>
              <w:right w:val="thinThickSmallGap" w:sz="12" w:space="0" w:color="auto"/>
            </w:tcBorders>
          </w:tcPr>
          <w:p w14:paraId="4EC51AB7" w14:textId="6BA5A48F" w:rsidR="00001970" w:rsidRPr="003446A8" w:rsidRDefault="00001970" w:rsidP="0001328E">
            <w:pPr>
              <w:jc w:val="center"/>
              <w:rPr>
                <w:sz w:val="16"/>
                <w:szCs w:val="16"/>
              </w:rPr>
            </w:pPr>
            <w:r w:rsidRPr="003446A8">
              <w:rPr>
                <w:sz w:val="16"/>
                <w:szCs w:val="16"/>
              </w:rPr>
              <w:t>Percentage point gap between rates of student discipline between general and low-income students</w:t>
            </w:r>
          </w:p>
        </w:tc>
      </w:tr>
      <w:tr w:rsidR="00001970" w14:paraId="5DD429FE" w14:textId="77777777" w:rsidTr="00667773">
        <w:trPr>
          <w:tblCellSpacing w:w="14" w:type="dxa"/>
        </w:trPr>
        <w:tc>
          <w:tcPr>
            <w:tcW w:w="1881" w:type="dxa"/>
            <w:tcBorders>
              <w:top w:val="thinThickSmallGap" w:sz="12" w:space="0" w:color="auto"/>
              <w:left w:val="thinThickSmallGap" w:sz="12" w:space="0" w:color="auto"/>
              <w:right w:val="thinThickSmallGap" w:sz="12" w:space="0" w:color="auto"/>
            </w:tcBorders>
          </w:tcPr>
          <w:p w14:paraId="59D1F5F5" w14:textId="3302490A" w:rsidR="00001970" w:rsidRPr="003446A8" w:rsidRDefault="00001970" w:rsidP="0001328E">
            <w:pPr>
              <w:jc w:val="center"/>
              <w:rPr>
                <w:sz w:val="16"/>
                <w:szCs w:val="16"/>
              </w:rPr>
            </w:pPr>
            <w:r>
              <w:rPr>
                <w:sz w:val="18"/>
                <w:szCs w:val="18"/>
              </w:rPr>
              <w:t>Growth in proficiency among English language learners</w:t>
            </w:r>
          </w:p>
        </w:tc>
        <w:tc>
          <w:tcPr>
            <w:tcW w:w="2153" w:type="dxa"/>
            <w:tcBorders>
              <w:left w:val="thinThickSmallGap" w:sz="12" w:space="0" w:color="auto"/>
              <w:right w:val="thinThickSmallGap" w:sz="12" w:space="0" w:color="auto"/>
            </w:tcBorders>
          </w:tcPr>
          <w:p w14:paraId="1C754E57" w14:textId="712955EA" w:rsidR="00001970" w:rsidRPr="003446A8" w:rsidRDefault="00001970" w:rsidP="0001328E">
            <w:pPr>
              <w:jc w:val="center"/>
              <w:rPr>
                <w:sz w:val="16"/>
                <w:szCs w:val="16"/>
              </w:rPr>
            </w:pPr>
          </w:p>
        </w:tc>
        <w:tc>
          <w:tcPr>
            <w:tcW w:w="2372" w:type="dxa"/>
            <w:tcBorders>
              <w:left w:val="thinThickSmallGap" w:sz="12" w:space="0" w:color="auto"/>
              <w:right w:val="thinThickSmallGap" w:sz="12" w:space="0" w:color="auto"/>
            </w:tcBorders>
          </w:tcPr>
          <w:p w14:paraId="5B4B1C12" w14:textId="345926DC" w:rsidR="00001970" w:rsidRPr="003446A8" w:rsidRDefault="00001970" w:rsidP="0001328E">
            <w:pPr>
              <w:jc w:val="center"/>
              <w:rPr>
                <w:sz w:val="16"/>
                <w:szCs w:val="16"/>
              </w:rPr>
            </w:pPr>
            <w:r w:rsidRPr="003446A8">
              <w:rPr>
                <w:sz w:val="16"/>
                <w:szCs w:val="16"/>
              </w:rPr>
              <w:t>Percentage of students who complete advanced coursework or an experiential/laboratory learning course</w:t>
            </w:r>
          </w:p>
        </w:tc>
        <w:tc>
          <w:tcPr>
            <w:tcW w:w="2231" w:type="dxa"/>
            <w:tcBorders>
              <w:left w:val="thinThickSmallGap" w:sz="12" w:space="0" w:color="auto"/>
              <w:right w:val="thinThickSmallGap" w:sz="12" w:space="0" w:color="auto"/>
            </w:tcBorders>
          </w:tcPr>
          <w:p w14:paraId="6B80CEC8" w14:textId="303E0235" w:rsidR="00001970" w:rsidRPr="003446A8" w:rsidRDefault="00001970" w:rsidP="000337E4">
            <w:pPr>
              <w:jc w:val="center"/>
              <w:rPr>
                <w:sz w:val="16"/>
                <w:szCs w:val="16"/>
              </w:rPr>
            </w:pPr>
            <w:r>
              <w:rPr>
                <w:sz w:val="16"/>
                <w:szCs w:val="16"/>
              </w:rPr>
              <w:t>Progress of lowest-performing students in reading in one academic year (e.g. moving from one score band to another)</w:t>
            </w:r>
          </w:p>
        </w:tc>
        <w:tc>
          <w:tcPr>
            <w:tcW w:w="2378" w:type="dxa"/>
            <w:tcBorders>
              <w:left w:val="thinThickSmallGap" w:sz="12" w:space="0" w:color="auto"/>
              <w:right w:val="thinThickSmallGap" w:sz="12" w:space="0" w:color="auto"/>
            </w:tcBorders>
          </w:tcPr>
          <w:p w14:paraId="47FEF83D" w14:textId="03CD01D2" w:rsidR="00001970" w:rsidRDefault="00001970" w:rsidP="00923BEF">
            <w:pPr>
              <w:jc w:val="center"/>
              <w:rPr>
                <w:sz w:val="16"/>
                <w:szCs w:val="16"/>
              </w:rPr>
            </w:pPr>
            <w:r>
              <w:rPr>
                <w:sz w:val="16"/>
                <w:szCs w:val="16"/>
              </w:rPr>
              <w:t>Growth in percentage of students who are engaged in school (e.g. extracurricular activities, attendance, etc.)</w:t>
            </w:r>
          </w:p>
          <w:p w14:paraId="4789AC3E" w14:textId="4D1527C3" w:rsidR="00001970" w:rsidRPr="003446A8" w:rsidRDefault="00001970" w:rsidP="00923BEF">
            <w:pPr>
              <w:jc w:val="center"/>
              <w:rPr>
                <w:sz w:val="16"/>
                <w:szCs w:val="16"/>
              </w:rPr>
            </w:pPr>
          </w:p>
        </w:tc>
        <w:tc>
          <w:tcPr>
            <w:tcW w:w="2155" w:type="dxa"/>
            <w:tcBorders>
              <w:left w:val="thinThickSmallGap" w:sz="12" w:space="0" w:color="auto"/>
              <w:right w:val="thinThickSmallGap" w:sz="12" w:space="0" w:color="auto"/>
            </w:tcBorders>
          </w:tcPr>
          <w:p w14:paraId="07A19B6C" w14:textId="1A898001" w:rsidR="00001970" w:rsidRPr="003446A8" w:rsidRDefault="00001970" w:rsidP="0001328E">
            <w:pPr>
              <w:jc w:val="center"/>
              <w:rPr>
                <w:sz w:val="16"/>
                <w:szCs w:val="16"/>
              </w:rPr>
            </w:pPr>
            <w:r w:rsidRPr="003446A8">
              <w:rPr>
                <w:sz w:val="16"/>
                <w:szCs w:val="16"/>
              </w:rPr>
              <w:t>Percentage point gap in 3</w:t>
            </w:r>
            <w:r w:rsidRPr="003446A8">
              <w:rPr>
                <w:sz w:val="16"/>
                <w:szCs w:val="16"/>
                <w:vertAlign w:val="superscript"/>
              </w:rPr>
              <w:t>rd</w:t>
            </w:r>
            <w:r w:rsidRPr="003446A8">
              <w:rPr>
                <w:sz w:val="16"/>
                <w:szCs w:val="16"/>
              </w:rPr>
              <w:t xml:space="preserve"> grade reading proficiency between students in two targeted subgroups and the highest-performing subgroup</w:t>
            </w:r>
          </w:p>
        </w:tc>
      </w:tr>
      <w:tr w:rsidR="00001970" w14:paraId="2E1AFA92" w14:textId="77777777" w:rsidTr="00001970">
        <w:trPr>
          <w:tblCellSpacing w:w="14" w:type="dxa"/>
        </w:trPr>
        <w:tc>
          <w:tcPr>
            <w:tcW w:w="1881" w:type="dxa"/>
            <w:tcBorders>
              <w:left w:val="thinThickSmallGap" w:sz="12" w:space="0" w:color="auto"/>
              <w:bottom w:val="thinThickSmallGap" w:sz="12" w:space="0" w:color="auto"/>
              <w:right w:val="thinThickSmallGap" w:sz="12" w:space="0" w:color="auto"/>
            </w:tcBorders>
          </w:tcPr>
          <w:p w14:paraId="298B25AE" w14:textId="77777777" w:rsidR="00001970" w:rsidRPr="003446A8" w:rsidRDefault="00001970" w:rsidP="0001328E">
            <w:pPr>
              <w:jc w:val="center"/>
              <w:rPr>
                <w:sz w:val="16"/>
                <w:szCs w:val="16"/>
              </w:rPr>
            </w:pPr>
          </w:p>
        </w:tc>
        <w:tc>
          <w:tcPr>
            <w:tcW w:w="2153" w:type="dxa"/>
            <w:tcBorders>
              <w:left w:val="thinThickSmallGap" w:sz="12" w:space="0" w:color="auto"/>
              <w:bottom w:val="thinThickSmallGap" w:sz="12" w:space="0" w:color="auto"/>
              <w:right w:val="thinThickSmallGap" w:sz="12" w:space="0" w:color="auto"/>
            </w:tcBorders>
          </w:tcPr>
          <w:p w14:paraId="1F93625B" w14:textId="66D58CE5" w:rsidR="00001970" w:rsidRPr="003446A8" w:rsidRDefault="00001970" w:rsidP="0001328E">
            <w:pPr>
              <w:jc w:val="center"/>
              <w:rPr>
                <w:sz w:val="16"/>
                <w:szCs w:val="16"/>
              </w:rPr>
            </w:pPr>
          </w:p>
        </w:tc>
        <w:tc>
          <w:tcPr>
            <w:tcW w:w="2372" w:type="dxa"/>
            <w:tcBorders>
              <w:left w:val="thinThickSmallGap" w:sz="12" w:space="0" w:color="auto"/>
              <w:bottom w:val="thinThickSmallGap" w:sz="12" w:space="0" w:color="auto"/>
              <w:right w:val="thinThickSmallGap" w:sz="12" w:space="0" w:color="auto"/>
            </w:tcBorders>
          </w:tcPr>
          <w:p w14:paraId="7430ED89" w14:textId="77777777" w:rsidR="00001970" w:rsidRPr="003446A8" w:rsidRDefault="00001970" w:rsidP="0001328E">
            <w:pPr>
              <w:jc w:val="center"/>
              <w:rPr>
                <w:sz w:val="16"/>
                <w:szCs w:val="16"/>
              </w:rPr>
            </w:pPr>
          </w:p>
        </w:tc>
        <w:tc>
          <w:tcPr>
            <w:tcW w:w="2231" w:type="dxa"/>
            <w:tcBorders>
              <w:left w:val="thinThickSmallGap" w:sz="12" w:space="0" w:color="auto"/>
              <w:bottom w:val="thinThickSmallGap" w:sz="12" w:space="0" w:color="auto"/>
              <w:right w:val="thinThickSmallGap" w:sz="12" w:space="0" w:color="auto"/>
            </w:tcBorders>
          </w:tcPr>
          <w:p w14:paraId="14158E9E" w14:textId="3C333CE8" w:rsidR="00001970" w:rsidRPr="003446A8" w:rsidRDefault="00001970" w:rsidP="0001328E">
            <w:pPr>
              <w:jc w:val="center"/>
              <w:rPr>
                <w:sz w:val="16"/>
                <w:szCs w:val="16"/>
              </w:rPr>
            </w:pPr>
            <w:r>
              <w:rPr>
                <w:sz w:val="16"/>
                <w:szCs w:val="16"/>
              </w:rPr>
              <w:t>Growth among students at the low end of an achievement gap that is greater than the growth of students overall</w:t>
            </w:r>
          </w:p>
        </w:tc>
        <w:tc>
          <w:tcPr>
            <w:tcW w:w="2378" w:type="dxa"/>
            <w:tcBorders>
              <w:left w:val="thinThickSmallGap" w:sz="12" w:space="0" w:color="auto"/>
              <w:bottom w:val="thinThickSmallGap" w:sz="12" w:space="0" w:color="auto"/>
              <w:right w:val="thinThickSmallGap" w:sz="12" w:space="0" w:color="auto"/>
            </w:tcBorders>
          </w:tcPr>
          <w:p w14:paraId="1A0D01F7" w14:textId="2817065C" w:rsidR="00001970" w:rsidRPr="003446A8" w:rsidRDefault="00001970" w:rsidP="0001328E">
            <w:pPr>
              <w:jc w:val="center"/>
              <w:rPr>
                <w:sz w:val="16"/>
                <w:szCs w:val="16"/>
              </w:rPr>
            </w:pPr>
            <w:r w:rsidRPr="003446A8">
              <w:rPr>
                <w:sz w:val="16"/>
                <w:szCs w:val="16"/>
              </w:rPr>
              <w:t>Combined measures of student, parent, and educator satisfaction</w:t>
            </w:r>
          </w:p>
        </w:tc>
        <w:tc>
          <w:tcPr>
            <w:tcW w:w="2155" w:type="dxa"/>
            <w:tcBorders>
              <w:left w:val="thinThickSmallGap" w:sz="12" w:space="0" w:color="auto"/>
              <w:bottom w:val="thinThickSmallGap" w:sz="12" w:space="0" w:color="auto"/>
              <w:right w:val="thinThickSmallGap" w:sz="12" w:space="0" w:color="auto"/>
            </w:tcBorders>
          </w:tcPr>
          <w:p w14:paraId="00112DE9" w14:textId="77777777" w:rsidR="00001970" w:rsidRPr="003446A8" w:rsidRDefault="00001970" w:rsidP="0001328E">
            <w:pPr>
              <w:jc w:val="center"/>
              <w:rPr>
                <w:sz w:val="16"/>
                <w:szCs w:val="16"/>
              </w:rPr>
            </w:pPr>
          </w:p>
        </w:tc>
      </w:tr>
    </w:tbl>
    <w:p w14:paraId="6F422E8A" w14:textId="57402F14" w:rsidR="00184D62" w:rsidRDefault="00184D62" w:rsidP="00667773">
      <w:pPr>
        <w:pStyle w:val="Heading1"/>
        <w:spacing w:before="0"/>
      </w:pPr>
      <w:r>
        <w:br w:type="page"/>
        <w:t>Appendix B: Sample Schools Worksheet</w:t>
      </w:r>
    </w:p>
    <w:p w14:paraId="18C7515C" w14:textId="77777777" w:rsidR="00184D62" w:rsidRPr="00A640E3" w:rsidRDefault="00184D62" w:rsidP="00184D62">
      <w:pPr>
        <w:rPr>
          <w:sz w:val="8"/>
          <w:szCs w:val="16"/>
        </w:rPr>
      </w:pPr>
    </w:p>
    <w:tbl>
      <w:tblPr>
        <w:tblStyle w:val="TableGrid"/>
        <w:tblW w:w="0" w:type="auto"/>
        <w:tblLook w:val="04A0" w:firstRow="1" w:lastRow="0" w:firstColumn="1" w:lastColumn="0" w:noHBand="0" w:noVBand="1"/>
      </w:tblPr>
      <w:tblGrid>
        <w:gridCol w:w="6588"/>
        <w:gridCol w:w="6588"/>
      </w:tblGrid>
      <w:tr w:rsidR="00A640E3" w14:paraId="3F6FCDF1" w14:textId="77777777" w:rsidTr="00A640E3">
        <w:trPr>
          <w:trHeight w:val="935"/>
        </w:trPr>
        <w:tc>
          <w:tcPr>
            <w:tcW w:w="6588" w:type="dxa"/>
          </w:tcPr>
          <w:p w14:paraId="5428A7E1" w14:textId="77777777" w:rsidR="00A640E3" w:rsidRPr="004A5021" w:rsidRDefault="00A640E3" w:rsidP="00A640E3">
            <w:pPr>
              <w:rPr>
                <w:i/>
              </w:rPr>
            </w:pPr>
            <w:r w:rsidRPr="004A5021">
              <w:rPr>
                <w:i/>
              </w:rPr>
              <w:t>Profile of elementary school A</w:t>
            </w:r>
          </w:p>
          <w:p w14:paraId="36BD54DB" w14:textId="77777777" w:rsidR="00A640E3" w:rsidRPr="002D078E" w:rsidRDefault="00A640E3" w:rsidP="00A640E3">
            <w:pPr>
              <w:pStyle w:val="ListParagraph"/>
              <w:numPr>
                <w:ilvl w:val="0"/>
                <w:numId w:val="8"/>
              </w:numPr>
              <w:spacing w:after="200"/>
              <w:rPr>
                <w:sz w:val="18"/>
              </w:rPr>
            </w:pPr>
            <w:r w:rsidRPr="002D078E">
              <w:rPr>
                <w:sz w:val="18"/>
              </w:rPr>
              <w:t>Urban, 90%+ FRL, 75% Black, 20% Hispanic/Latino, 5% Other</w:t>
            </w:r>
          </w:p>
          <w:p w14:paraId="186D218A" w14:textId="77777777" w:rsidR="00A640E3" w:rsidRPr="002D078E" w:rsidRDefault="00A640E3" w:rsidP="00A640E3">
            <w:pPr>
              <w:pStyle w:val="ListParagraph"/>
              <w:numPr>
                <w:ilvl w:val="0"/>
                <w:numId w:val="8"/>
              </w:numPr>
              <w:spacing w:after="200"/>
              <w:rPr>
                <w:sz w:val="18"/>
              </w:rPr>
            </w:pPr>
            <w:r w:rsidRPr="002D078E">
              <w:rPr>
                <w:sz w:val="18"/>
              </w:rPr>
              <w:t>Grades 1-6, 435 students</w:t>
            </w:r>
          </w:p>
          <w:p w14:paraId="50FAF3A7" w14:textId="50D5833F" w:rsidR="00A640E3" w:rsidRPr="00A640E3" w:rsidRDefault="00A640E3" w:rsidP="008F6E1E">
            <w:pPr>
              <w:pStyle w:val="ListParagraph"/>
              <w:numPr>
                <w:ilvl w:val="0"/>
                <w:numId w:val="8"/>
              </w:numPr>
              <w:spacing w:after="200"/>
              <w:rPr>
                <w:sz w:val="18"/>
              </w:rPr>
            </w:pPr>
            <w:r>
              <w:rPr>
                <w:sz w:val="18"/>
              </w:rPr>
              <w:t>Performance contract results</w:t>
            </w:r>
            <w:r w:rsidRPr="002D078E">
              <w:rPr>
                <w:sz w:val="18"/>
              </w:rPr>
              <w:t xml:space="preserve"> from prior year:</w:t>
            </w:r>
            <w:r w:rsidR="004335B2">
              <w:rPr>
                <w:sz w:val="18"/>
              </w:rPr>
              <w:t xml:space="preserve"> met 3</w:t>
            </w:r>
            <w:r>
              <w:rPr>
                <w:sz w:val="18"/>
              </w:rPr>
              <w:t xml:space="preserve"> out of 10 </w:t>
            </w:r>
            <w:r w:rsidR="008F6E1E">
              <w:rPr>
                <w:sz w:val="18"/>
              </w:rPr>
              <w:t>measures</w:t>
            </w:r>
          </w:p>
        </w:tc>
        <w:tc>
          <w:tcPr>
            <w:tcW w:w="6588" w:type="dxa"/>
          </w:tcPr>
          <w:p w14:paraId="3FDE3B89" w14:textId="77777777" w:rsidR="00A640E3" w:rsidRPr="004A5021" w:rsidRDefault="00A640E3" w:rsidP="00A640E3">
            <w:pPr>
              <w:rPr>
                <w:i/>
              </w:rPr>
            </w:pPr>
            <w:r w:rsidRPr="004A5021">
              <w:rPr>
                <w:i/>
              </w:rPr>
              <w:t>Profile of elementary school B</w:t>
            </w:r>
          </w:p>
          <w:p w14:paraId="4B9EDB66" w14:textId="77777777" w:rsidR="00A640E3" w:rsidRPr="002D078E" w:rsidRDefault="00A640E3" w:rsidP="00A640E3">
            <w:pPr>
              <w:pStyle w:val="ListParagraph"/>
              <w:numPr>
                <w:ilvl w:val="0"/>
                <w:numId w:val="8"/>
              </w:numPr>
              <w:spacing w:after="200"/>
              <w:rPr>
                <w:sz w:val="18"/>
              </w:rPr>
            </w:pPr>
            <w:r w:rsidRPr="002D078E">
              <w:rPr>
                <w:sz w:val="18"/>
              </w:rPr>
              <w:t>Suburban, 50% FRL, 50% White, 40% Hispanic/Latino, 10% Black</w:t>
            </w:r>
          </w:p>
          <w:p w14:paraId="2853AFB9" w14:textId="77777777" w:rsidR="00A640E3" w:rsidRPr="002D078E" w:rsidRDefault="00A640E3" w:rsidP="00A640E3">
            <w:pPr>
              <w:pStyle w:val="ListParagraph"/>
              <w:numPr>
                <w:ilvl w:val="0"/>
                <w:numId w:val="8"/>
              </w:numPr>
              <w:spacing w:after="200"/>
              <w:rPr>
                <w:sz w:val="18"/>
              </w:rPr>
            </w:pPr>
            <w:r w:rsidRPr="002D078E">
              <w:rPr>
                <w:sz w:val="18"/>
              </w:rPr>
              <w:t>Grades K-5, 350 students</w:t>
            </w:r>
          </w:p>
          <w:p w14:paraId="46622D47" w14:textId="15D5228D" w:rsidR="00A640E3" w:rsidRPr="00A640E3" w:rsidRDefault="00A640E3" w:rsidP="008F6E1E">
            <w:pPr>
              <w:pStyle w:val="ListParagraph"/>
              <w:numPr>
                <w:ilvl w:val="0"/>
                <w:numId w:val="8"/>
              </w:numPr>
              <w:spacing w:after="200"/>
              <w:rPr>
                <w:sz w:val="18"/>
              </w:rPr>
            </w:pPr>
            <w:r>
              <w:rPr>
                <w:sz w:val="18"/>
              </w:rPr>
              <w:t>Performance contract</w:t>
            </w:r>
            <w:r w:rsidRPr="002D078E">
              <w:rPr>
                <w:sz w:val="18"/>
              </w:rPr>
              <w:t xml:space="preserve"> results from prior year:</w:t>
            </w:r>
            <w:r w:rsidR="00DC4DDF">
              <w:rPr>
                <w:sz w:val="18"/>
              </w:rPr>
              <w:t xml:space="preserve"> met 9</w:t>
            </w:r>
            <w:r w:rsidR="0066190B">
              <w:rPr>
                <w:sz w:val="18"/>
              </w:rPr>
              <w:t xml:space="preserve"> </w:t>
            </w:r>
            <w:r>
              <w:rPr>
                <w:sz w:val="18"/>
              </w:rPr>
              <w:t xml:space="preserve">out of 10 </w:t>
            </w:r>
            <w:r w:rsidR="008F6E1E">
              <w:rPr>
                <w:sz w:val="18"/>
              </w:rPr>
              <w:t>measures</w:t>
            </w:r>
          </w:p>
        </w:tc>
      </w:tr>
    </w:tbl>
    <w:p w14:paraId="1A7360C6" w14:textId="77777777" w:rsidR="00A640E3" w:rsidRPr="00A640E3" w:rsidRDefault="00A640E3" w:rsidP="00184D62">
      <w:pPr>
        <w:rPr>
          <w:i/>
          <w:sz w:val="6"/>
          <w:szCs w:val="16"/>
        </w:rPr>
      </w:pPr>
    </w:p>
    <w:p w14:paraId="021F20FA" w14:textId="7E0947BF" w:rsidR="00184D62" w:rsidRDefault="00EF0955" w:rsidP="00184D62">
      <w:pPr>
        <w:rPr>
          <w:i/>
        </w:rPr>
      </w:pPr>
      <w:r>
        <w:rPr>
          <w:i/>
        </w:rPr>
        <w:t>Measures</w:t>
      </w:r>
      <w:r w:rsidR="00184D62" w:rsidRPr="004A5021">
        <w:rPr>
          <w:i/>
        </w:rPr>
        <w:t xml:space="preserve"> chosen (agreed to by both the school and the LEA)</w:t>
      </w:r>
      <w:r w:rsidR="00184D62">
        <w:rPr>
          <w:i/>
        </w:rPr>
        <w:t xml:space="preserve"> and performance</w:t>
      </w:r>
    </w:p>
    <w:p w14:paraId="7F40D0F6" w14:textId="77777777" w:rsidR="00184D62" w:rsidRDefault="00184D62" w:rsidP="00184D62">
      <w:pPr>
        <w:pStyle w:val="ListParagraph"/>
        <w:numPr>
          <w:ilvl w:val="0"/>
          <w:numId w:val="8"/>
        </w:numPr>
        <w:spacing w:after="200"/>
        <w:rPr>
          <w:sz w:val="18"/>
        </w:rPr>
      </w:pPr>
      <w:r>
        <w:rPr>
          <w:sz w:val="18"/>
        </w:rPr>
        <w:t>White: met target established in the performance contract</w:t>
      </w:r>
    </w:p>
    <w:p w14:paraId="749D6BC5" w14:textId="77777777" w:rsidR="00184D62" w:rsidRPr="00FA00EB" w:rsidRDefault="00184D62" w:rsidP="00184D62">
      <w:pPr>
        <w:pStyle w:val="ListParagraph"/>
        <w:numPr>
          <w:ilvl w:val="0"/>
          <w:numId w:val="8"/>
        </w:numPr>
        <w:spacing w:after="200"/>
        <w:rPr>
          <w:sz w:val="18"/>
        </w:rPr>
      </w:pPr>
      <w:r>
        <w:rPr>
          <w:sz w:val="18"/>
        </w:rPr>
        <w:t>Gray: failed to meet target established in the performance contract</w:t>
      </w:r>
    </w:p>
    <w:tbl>
      <w:tblPr>
        <w:tblStyle w:val="TableGrid"/>
        <w:tblpPr w:leftFromText="72" w:rightFromText="72" w:vertAnchor="text" w:tblpXSpec="center" w:tblpY="1"/>
        <w:tblOverlap w:val="never"/>
        <w:tblW w:w="5000" w:type="pct"/>
        <w:tblLayout w:type="fixed"/>
        <w:tblLook w:val="04A0" w:firstRow="1" w:lastRow="0" w:firstColumn="1" w:lastColumn="0" w:noHBand="0" w:noVBand="1"/>
      </w:tblPr>
      <w:tblGrid>
        <w:gridCol w:w="1055"/>
        <w:gridCol w:w="1039"/>
        <w:gridCol w:w="1345"/>
        <w:gridCol w:w="1171"/>
        <w:gridCol w:w="1079"/>
        <w:gridCol w:w="1170"/>
        <w:gridCol w:w="1800"/>
        <w:gridCol w:w="1979"/>
        <w:gridCol w:w="2538"/>
      </w:tblGrid>
      <w:tr w:rsidR="00A640E3" w14:paraId="037AB48F" w14:textId="77777777" w:rsidTr="00451D59">
        <w:trPr>
          <w:trHeight w:val="710"/>
        </w:trPr>
        <w:tc>
          <w:tcPr>
            <w:tcW w:w="400" w:type="pct"/>
            <w:vAlign w:val="center"/>
          </w:tcPr>
          <w:p w14:paraId="563C65D1" w14:textId="77777777" w:rsidR="00A640E3" w:rsidRDefault="00A640E3" w:rsidP="00A640E3"/>
        </w:tc>
        <w:tc>
          <w:tcPr>
            <w:tcW w:w="394" w:type="pct"/>
            <w:tcBorders>
              <w:bottom w:val="single" w:sz="4" w:space="0" w:color="auto"/>
            </w:tcBorders>
            <w:vAlign w:val="center"/>
          </w:tcPr>
          <w:p w14:paraId="22C3EDF7" w14:textId="3FC69FA1" w:rsidR="00A640E3" w:rsidRPr="00A640E3" w:rsidRDefault="00A640E3" w:rsidP="00A640E3">
            <w:pPr>
              <w:pStyle w:val="Heading3"/>
              <w:spacing w:before="0"/>
              <w:jc w:val="center"/>
              <w:rPr>
                <w:sz w:val="20"/>
                <w:szCs w:val="20"/>
              </w:rPr>
            </w:pPr>
            <w:r w:rsidRPr="00A640E3">
              <w:rPr>
                <w:sz w:val="20"/>
                <w:szCs w:val="20"/>
              </w:rPr>
              <w:t>Overall Academic Growth</w:t>
            </w:r>
          </w:p>
        </w:tc>
        <w:tc>
          <w:tcPr>
            <w:tcW w:w="510" w:type="pct"/>
            <w:tcBorders>
              <w:bottom w:val="single" w:sz="4" w:space="0" w:color="auto"/>
            </w:tcBorders>
            <w:vAlign w:val="center"/>
          </w:tcPr>
          <w:p w14:paraId="7AF16662" w14:textId="77777777" w:rsidR="00A640E3" w:rsidRPr="00A640E3" w:rsidRDefault="00A640E3" w:rsidP="00A640E3">
            <w:pPr>
              <w:pStyle w:val="Heading3"/>
              <w:spacing w:before="0"/>
              <w:jc w:val="center"/>
              <w:rPr>
                <w:sz w:val="20"/>
                <w:szCs w:val="20"/>
              </w:rPr>
            </w:pPr>
            <w:r w:rsidRPr="00A640E3">
              <w:rPr>
                <w:sz w:val="20"/>
                <w:szCs w:val="20"/>
              </w:rPr>
              <w:t>Subgroup Performance</w:t>
            </w:r>
          </w:p>
          <w:p w14:paraId="68B09995" w14:textId="53BA07A4" w:rsidR="00A640E3" w:rsidRPr="00A640E3" w:rsidRDefault="00A640E3" w:rsidP="00A640E3">
            <w:pPr>
              <w:pStyle w:val="Heading3"/>
              <w:spacing w:before="0"/>
              <w:jc w:val="center"/>
              <w:rPr>
                <w:sz w:val="20"/>
                <w:szCs w:val="20"/>
              </w:rPr>
            </w:pPr>
          </w:p>
        </w:tc>
        <w:tc>
          <w:tcPr>
            <w:tcW w:w="444" w:type="pct"/>
            <w:tcBorders>
              <w:bottom w:val="single" w:sz="4" w:space="0" w:color="auto"/>
            </w:tcBorders>
            <w:vAlign w:val="center"/>
          </w:tcPr>
          <w:p w14:paraId="5E233D62" w14:textId="007BFB59" w:rsidR="00A640E3" w:rsidRPr="00A640E3" w:rsidRDefault="00A640E3" w:rsidP="00A640E3">
            <w:pPr>
              <w:pStyle w:val="Heading3"/>
              <w:spacing w:before="0"/>
              <w:jc w:val="center"/>
              <w:rPr>
                <w:sz w:val="20"/>
                <w:szCs w:val="20"/>
              </w:rPr>
            </w:pPr>
            <w:r w:rsidRPr="00A640E3">
              <w:rPr>
                <w:sz w:val="20"/>
                <w:szCs w:val="20"/>
              </w:rPr>
              <w:t xml:space="preserve">Progress Toward </w:t>
            </w:r>
            <w:r>
              <w:rPr>
                <w:sz w:val="20"/>
                <w:szCs w:val="20"/>
              </w:rPr>
              <w:t>EL</w:t>
            </w:r>
            <w:r w:rsidRPr="00A640E3">
              <w:rPr>
                <w:sz w:val="20"/>
                <w:szCs w:val="20"/>
              </w:rPr>
              <w:t xml:space="preserve"> Proficiency</w:t>
            </w:r>
          </w:p>
          <w:p w14:paraId="49FED8FA" w14:textId="6AAF3222" w:rsidR="00A640E3" w:rsidRPr="00A640E3" w:rsidRDefault="00A640E3" w:rsidP="00A640E3">
            <w:pPr>
              <w:pStyle w:val="Heading3"/>
              <w:spacing w:before="0"/>
              <w:jc w:val="center"/>
              <w:rPr>
                <w:sz w:val="20"/>
                <w:szCs w:val="20"/>
              </w:rPr>
            </w:pPr>
          </w:p>
        </w:tc>
        <w:tc>
          <w:tcPr>
            <w:tcW w:w="409" w:type="pct"/>
            <w:tcBorders>
              <w:bottom w:val="single" w:sz="4" w:space="0" w:color="auto"/>
            </w:tcBorders>
            <w:vAlign w:val="center"/>
          </w:tcPr>
          <w:p w14:paraId="661AE980" w14:textId="39749EDA" w:rsidR="00A640E3" w:rsidRPr="00A640E3" w:rsidRDefault="00A640E3" w:rsidP="00A640E3">
            <w:pPr>
              <w:pStyle w:val="Heading3"/>
              <w:jc w:val="center"/>
              <w:rPr>
                <w:sz w:val="20"/>
                <w:szCs w:val="20"/>
              </w:rPr>
            </w:pPr>
            <w:r w:rsidRPr="00A640E3">
              <w:rPr>
                <w:sz w:val="20"/>
                <w:szCs w:val="20"/>
              </w:rPr>
              <w:t xml:space="preserve">Academic I </w:t>
            </w:r>
          </w:p>
        </w:tc>
        <w:tc>
          <w:tcPr>
            <w:tcW w:w="444" w:type="pct"/>
            <w:vAlign w:val="center"/>
          </w:tcPr>
          <w:p w14:paraId="317CC6E4" w14:textId="77777777" w:rsidR="00A640E3" w:rsidRPr="00A640E3" w:rsidRDefault="00A640E3" w:rsidP="00A640E3">
            <w:pPr>
              <w:pStyle w:val="Heading3"/>
              <w:jc w:val="center"/>
              <w:rPr>
                <w:sz w:val="20"/>
                <w:szCs w:val="20"/>
              </w:rPr>
            </w:pPr>
            <w:r w:rsidRPr="00A640E3">
              <w:rPr>
                <w:sz w:val="20"/>
                <w:szCs w:val="20"/>
              </w:rPr>
              <w:t xml:space="preserve">Academic II </w:t>
            </w:r>
          </w:p>
        </w:tc>
        <w:tc>
          <w:tcPr>
            <w:tcW w:w="683" w:type="pct"/>
            <w:tcBorders>
              <w:bottom w:val="single" w:sz="4" w:space="0" w:color="auto"/>
            </w:tcBorders>
            <w:vAlign w:val="center"/>
          </w:tcPr>
          <w:p w14:paraId="1AE6E82E" w14:textId="77777777" w:rsidR="00A640E3" w:rsidRPr="00A640E3" w:rsidRDefault="00A640E3" w:rsidP="00A640E3">
            <w:pPr>
              <w:pStyle w:val="Heading3"/>
              <w:jc w:val="center"/>
              <w:rPr>
                <w:sz w:val="20"/>
                <w:szCs w:val="20"/>
              </w:rPr>
            </w:pPr>
            <w:r w:rsidRPr="00A640E3">
              <w:rPr>
                <w:sz w:val="20"/>
                <w:szCs w:val="20"/>
              </w:rPr>
              <w:t>Academic Growth</w:t>
            </w:r>
          </w:p>
        </w:tc>
        <w:tc>
          <w:tcPr>
            <w:tcW w:w="751" w:type="pct"/>
            <w:vAlign w:val="center"/>
          </w:tcPr>
          <w:p w14:paraId="2765EDE6" w14:textId="7E95BAC4" w:rsidR="00A640E3" w:rsidRPr="00A640E3" w:rsidRDefault="00A640E3" w:rsidP="00A640E3">
            <w:pPr>
              <w:pStyle w:val="Heading3"/>
              <w:jc w:val="center"/>
              <w:rPr>
                <w:sz w:val="20"/>
                <w:szCs w:val="20"/>
              </w:rPr>
            </w:pPr>
            <w:r w:rsidRPr="00A640E3">
              <w:rPr>
                <w:sz w:val="20"/>
                <w:szCs w:val="20"/>
              </w:rPr>
              <w:t xml:space="preserve">School Success </w:t>
            </w:r>
            <w:r>
              <w:rPr>
                <w:sz w:val="20"/>
                <w:szCs w:val="20"/>
              </w:rPr>
              <w:t>&amp;</w:t>
            </w:r>
            <w:r w:rsidRPr="00A640E3">
              <w:rPr>
                <w:sz w:val="20"/>
                <w:szCs w:val="20"/>
              </w:rPr>
              <w:t xml:space="preserve"> Quality</w:t>
            </w:r>
          </w:p>
        </w:tc>
        <w:tc>
          <w:tcPr>
            <w:tcW w:w="963" w:type="pct"/>
            <w:tcBorders>
              <w:bottom w:val="single" w:sz="4" w:space="0" w:color="auto"/>
            </w:tcBorders>
            <w:vAlign w:val="center"/>
          </w:tcPr>
          <w:p w14:paraId="0C646B72" w14:textId="77777777" w:rsidR="00A640E3" w:rsidRPr="00A640E3" w:rsidRDefault="00A640E3" w:rsidP="00A640E3">
            <w:pPr>
              <w:pStyle w:val="Heading3"/>
              <w:jc w:val="center"/>
              <w:rPr>
                <w:sz w:val="20"/>
                <w:szCs w:val="20"/>
              </w:rPr>
            </w:pPr>
            <w:r w:rsidRPr="00A640E3">
              <w:rPr>
                <w:sz w:val="20"/>
                <w:szCs w:val="20"/>
              </w:rPr>
              <w:t>All Students Achieve</w:t>
            </w:r>
          </w:p>
        </w:tc>
      </w:tr>
      <w:tr w:rsidR="00A640E3" w14:paraId="19B7B869" w14:textId="77777777" w:rsidTr="00451D59">
        <w:tc>
          <w:tcPr>
            <w:tcW w:w="400" w:type="pct"/>
            <w:vMerge w:val="restart"/>
          </w:tcPr>
          <w:p w14:paraId="156D71A6" w14:textId="77777777" w:rsidR="00A640E3" w:rsidRPr="00DC07E6" w:rsidRDefault="00A640E3" w:rsidP="00A640E3">
            <w:pPr>
              <w:rPr>
                <w:sz w:val="18"/>
                <w:szCs w:val="18"/>
              </w:rPr>
            </w:pPr>
            <w:r w:rsidRPr="00DC07E6">
              <w:rPr>
                <w:sz w:val="18"/>
                <w:szCs w:val="18"/>
              </w:rPr>
              <w:t>Elementary school A</w:t>
            </w:r>
          </w:p>
        </w:tc>
        <w:tc>
          <w:tcPr>
            <w:tcW w:w="394" w:type="pct"/>
            <w:vMerge w:val="restart"/>
            <w:shd w:val="clear" w:color="auto" w:fill="auto"/>
          </w:tcPr>
          <w:p w14:paraId="57E5E2B3" w14:textId="596C43E0" w:rsidR="00A640E3" w:rsidRPr="00DC07E6" w:rsidRDefault="00A640E3" w:rsidP="00A640E3">
            <w:pPr>
              <w:rPr>
                <w:sz w:val="18"/>
                <w:szCs w:val="18"/>
              </w:rPr>
            </w:pPr>
            <w:r w:rsidRPr="00DC07E6">
              <w:rPr>
                <w:sz w:val="18"/>
                <w:szCs w:val="18"/>
              </w:rPr>
              <w:t>Growth in students proficient or above in math and reading</w:t>
            </w:r>
          </w:p>
        </w:tc>
        <w:tc>
          <w:tcPr>
            <w:tcW w:w="510" w:type="pct"/>
            <w:vMerge w:val="restart"/>
            <w:shd w:val="clear" w:color="auto" w:fill="B3B3B3"/>
          </w:tcPr>
          <w:p w14:paraId="6BC2C490" w14:textId="14648D38" w:rsidR="00A640E3" w:rsidRPr="00DC07E6" w:rsidRDefault="00A640E3" w:rsidP="00A640E3">
            <w:pPr>
              <w:rPr>
                <w:sz w:val="18"/>
                <w:szCs w:val="18"/>
              </w:rPr>
            </w:pPr>
            <w:r w:rsidRPr="00DC07E6">
              <w:rPr>
                <w:sz w:val="18"/>
                <w:szCs w:val="18"/>
              </w:rPr>
              <w:t>Percentage of students proficient in math and reading in all subgroups</w:t>
            </w:r>
          </w:p>
        </w:tc>
        <w:tc>
          <w:tcPr>
            <w:tcW w:w="444" w:type="pct"/>
            <w:vMerge w:val="restart"/>
            <w:shd w:val="clear" w:color="auto" w:fill="auto"/>
          </w:tcPr>
          <w:p w14:paraId="5AEE0C4A" w14:textId="6A16BD28" w:rsidR="00A640E3" w:rsidRPr="00DC07E6" w:rsidRDefault="00A640E3" w:rsidP="00A640E3">
            <w:pPr>
              <w:rPr>
                <w:sz w:val="18"/>
                <w:szCs w:val="18"/>
              </w:rPr>
            </w:pPr>
            <w:r w:rsidRPr="00DC07E6">
              <w:rPr>
                <w:sz w:val="18"/>
                <w:szCs w:val="18"/>
              </w:rPr>
              <w:t>Growth in proficiency among English language learners</w:t>
            </w:r>
          </w:p>
        </w:tc>
        <w:tc>
          <w:tcPr>
            <w:tcW w:w="409" w:type="pct"/>
            <w:vMerge w:val="restart"/>
            <w:shd w:val="clear" w:color="auto" w:fill="auto"/>
          </w:tcPr>
          <w:p w14:paraId="22AD9A6A" w14:textId="50D6C91C" w:rsidR="00A640E3" w:rsidRPr="00DC07E6" w:rsidRDefault="00A640E3" w:rsidP="00A640E3">
            <w:pPr>
              <w:rPr>
                <w:sz w:val="18"/>
                <w:szCs w:val="18"/>
              </w:rPr>
            </w:pPr>
            <w:r w:rsidRPr="00DC07E6">
              <w:rPr>
                <w:sz w:val="18"/>
                <w:szCs w:val="18"/>
              </w:rPr>
              <w:t>State assessment</w:t>
            </w:r>
          </w:p>
        </w:tc>
        <w:tc>
          <w:tcPr>
            <w:tcW w:w="444" w:type="pct"/>
            <w:vMerge w:val="restart"/>
          </w:tcPr>
          <w:p w14:paraId="79099551" w14:textId="77777777" w:rsidR="00A640E3" w:rsidRPr="00DC07E6" w:rsidRDefault="00A640E3" w:rsidP="00A640E3">
            <w:pPr>
              <w:rPr>
                <w:sz w:val="18"/>
                <w:szCs w:val="18"/>
              </w:rPr>
            </w:pPr>
            <w:r w:rsidRPr="00DC07E6">
              <w:rPr>
                <w:sz w:val="18"/>
                <w:szCs w:val="18"/>
              </w:rPr>
              <w:t>Music assessment (locally developed)</w:t>
            </w:r>
          </w:p>
        </w:tc>
        <w:tc>
          <w:tcPr>
            <w:tcW w:w="683" w:type="pct"/>
            <w:tcBorders>
              <w:bottom w:val="single" w:sz="4" w:space="0" w:color="auto"/>
            </w:tcBorders>
            <w:shd w:val="clear" w:color="auto" w:fill="B3B3B3"/>
          </w:tcPr>
          <w:p w14:paraId="7FB24932" w14:textId="77777777" w:rsidR="00A640E3" w:rsidRPr="00DC07E6" w:rsidRDefault="00A640E3" w:rsidP="00A640E3">
            <w:pPr>
              <w:rPr>
                <w:sz w:val="18"/>
                <w:szCs w:val="18"/>
              </w:rPr>
            </w:pPr>
            <w:r w:rsidRPr="00DC07E6">
              <w:rPr>
                <w:sz w:val="18"/>
                <w:szCs w:val="18"/>
              </w:rPr>
              <w:t>3</w:t>
            </w:r>
            <w:r w:rsidRPr="00DC07E6">
              <w:rPr>
                <w:sz w:val="18"/>
                <w:szCs w:val="18"/>
                <w:vertAlign w:val="superscript"/>
              </w:rPr>
              <w:t>rd</w:t>
            </w:r>
            <w:r w:rsidRPr="00DC07E6">
              <w:rPr>
                <w:sz w:val="18"/>
                <w:szCs w:val="18"/>
              </w:rPr>
              <w:t xml:space="preserve"> grade reading assessment (state)</w:t>
            </w:r>
          </w:p>
          <w:p w14:paraId="75AEFE45" w14:textId="77777777" w:rsidR="00A640E3" w:rsidRPr="00DC07E6" w:rsidRDefault="00A640E3" w:rsidP="00A640E3">
            <w:pPr>
              <w:jc w:val="center"/>
              <w:rPr>
                <w:sz w:val="18"/>
                <w:szCs w:val="18"/>
              </w:rPr>
            </w:pPr>
          </w:p>
        </w:tc>
        <w:tc>
          <w:tcPr>
            <w:tcW w:w="751" w:type="pct"/>
            <w:vMerge w:val="restart"/>
          </w:tcPr>
          <w:p w14:paraId="555D87B0" w14:textId="77777777" w:rsidR="00A640E3" w:rsidRPr="00DC07E6" w:rsidRDefault="00A640E3" w:rsidP="00A640E3">
            <w:pPr>
              <w:rPr>
                <w:sz w:val="18"/>
                <w:szCs w:val="18"/>
              </w:rPr>
            </w:pPr>
            <w:r w:rsidRPr="00DC07E6">
              <w:rPr>
                <w:sz w:val="18"/>
                <w:szCs w:val="18"/>
              </w:rPr>
              <w:t>Student, parent, and staff surveys (locally developed)</w:t>
            </w:r>
          </w:p>
        </w:tc>
        <w:tc>
          <w:tcPr>
            <w:tcW w:w="963" w:type="pct"/>
            <w:tcBorders>
              <w:bottom w:val="single" w:sz="4" w:space="0" w:color="auto"/>
            </w:tcBorders>
            <w:shd w:val="clear" w:color="auto" w:fill="B3B3B3"/>
          </w:tcPr>
          <w:p w14:paraId="002B5710" w14:textId="77777777" w:rsidR="00A640E3" w:rsidRPr="00DC07E6" w:rsidRDefault="00A640E3" w:rsidP="00A640E3">
            <w:pPr>
              <w:rPr>
                <w:sz w:val="18"/>
                <w:szCs w:val="18"/>
              </w:rPr>
            </w:pPr>
            <w:r w:rsidRPr="00DC07E6">
              <w:rPr>
                <w:sz w:val="18"/>
                <w:szCs w:val="18"/>
              </w:rPr>
              <w:t>Decrease in achievement gap between Black students and Hispanic &amp; Tongan students (3</w:t>
            </w:r>
            <w:r w:rsidRPr="00DC07E6">
              <w:rPr>
                <w:sz w:val="18"/>
                <w:szCs w:val="18"/>
                <w:vertAlign w:val="superscript"/>
              </w:rPr>
              <w:t>rd</w:t>
            </w:r>
            <w:r w:rsidRPr="00DC07E6">
              <w:rPr>
                <w:sz w:val="18"/>
                <w:szCs w:val="18"/>
              </w:rPr>
              <w:t xml:space="preserve"> grade reading assessment)</w:t>
            </w:r>
          </w:p>
        </w:tc>
      </w:tr>
      <w:tr w:rsidR="00A640E3" w14:paraId="0243C77A" w14:textId="77777777" w:rsidTr="00451D59">
        <w:tc>
          <w:tcPr>
            <w:tcW w:w="400" w:type="pct"/>
            <w:vMerge/>
          </w:tcPr>
          <w:p w14:paraId="382A6572" w14:textId="77777777" w:rsidR="00A640E3" w:rsidRPr="00DC07E6" w:rsidRDefault="00A640E3" w:rsidP="00A640E3">
            <w:pPr>
              <w:rPr>
                <w:sz w:val="18"/>
                <w:szCs w:val="18"/>
              </w:rPr>
            </w:pPr>
          </w:p>
        </w:tc>
        <w:tc>
          <w:tcPr>
            <w:tcW w:w="394" w:type="pct"/>
            <w:vMerge/>
            <w:tcBorders>
              <w:bottom w:val="single" w:sz="4" w:space="0" w:color="auto"/>
            </w:tcBorders>
            <w:shd w:val="clear" w:color="auto" w:fill="auto"/>
          </w:tcPr>
          <w:p w14:paraId="47D9A6FA" w14:textId="77777777" w:rsidR="00A640E3" w:rsidRPr="00DC07E6" w:rsidRDefault="00A640E3" w:rsidP="00A640E3">
            <w:pPr>
              <w:rPr>
                <w:sz w:val="18"/>
                <w:szCs w:val="18"/>
              </w:rPr>
            </w:pPr>
          </w:p>
        </w:tc>
        <w:tc>
          <w:tcPr>
            <w:tcW w:w="510" w:type="pct"/>
            <w:vMerge/>
            <w:tcBorders>
              <w:bottom w:val="single" w:sz="4" w:space="0" w:color="auto"/>
            </w:tcBorders>
            <w:shd w:val="clear" w:color="auto" w:fill="B3B3B3"/>
          </w:tcPr>
          <w:p w14:paraId="39907590" w14:textId="1F0CC476" w:rsidR="00A640E3" w:rsidRPr="00DC07E6" w:rsidRDefault="00A640E3" w:rsidP="00A640E3">
            <w:pPr>
              <w:rPr>
                <w:sz w:val="18"/>
                <w:szCs w:val="18"/>
              </w:rPr>
            </w:pPr>
          </w:p>
        </w:tc>
        <w:tc>
          <w:tcPr>
            <w:tcW w:w="444" w:type="pct"/>
            <w:vMerge/>
            <w:tcBorders>
              <w:bottom w:val="single" w:sz="4" w:space="0" w:color="auto"/>
            </w:tcBorders>
            <w:shd w:val="clear" w:color="auto" w:fill="auto"/>
          </w:tcPr>
          <w:p w14:paraId="1A38101F" w14:textId="29FBBD0D" w:rsidR="00A640E3" w:rsidRPr="00DC07E6" w:rsidRDefault="00A640E3" w:rsidP="00A640E3">
            <w:pPr>
              <w:rPr>
                <w:sz w:val="18"/>
                <w:szCs w:val="18"/>
              </w:rPr>
            </w:pPr>
          </w:p>
        </w:tc>
        <w:tc>
          <w:tcPr>
            <w:tcW w:w="409" w:type="pct"/>
            <w:vMerge/>
            <w:tcBorders>
              <w:bottom w:val="single" w:sz="4" w:space="0" w:color="auto"/>
            </w:tcBorders>
            <w:shd w:val="clear" w:color="auto" w:fill="auto"/>
          </w:tcPr>
          <w:p w14:paraId="4D828B54" w14:textId="795A59E8" w:rsidR="00A640E3" w:rsidRPr="00DC07E6" w:rsidRDefault="00A640E3" w:rsidP="00A640E3">
            <w:pPr>
              <w:rPr>
                <w:sz w:val="18"/>
                <w:szCs w:val="18"/>
              </w:rPr>
            </w:pPr>
          </w:p>
        </w:tc>
        <w:tc>
          <w:tcPr>
            <w:tcW w:w="444" w:type="pct"/>
            <w:vMerge/>
          </w:tcPr>
          <w:p w14:paraId="2427FB6C" w14:textId="77777777" w:rsidR="00A640E3" w:rsidRPr="00DC07E6" w:rsidRDefault="00A640E3" w:rsidP="00A640E3">
            <w:pPr>
              <w:rPr>
                <w:sz w:val="18"/>
                <w:szCs w:val="18"/>
              </w:rPr>
            </w:pPr>
          </w:p>
        </w:tc>
        <w:tc>
          <w:tcPr>
            <w:tcW w:w="683" w:type="pct"/>
            <w:tcBorders>
              <w:bottom w:val="single" w:sz="4" w:space="0" w:color="auto"/>
            </w:tcBorders>
            <w:shd w:val="clear" w:color="auto" w:fill="auto"/>
          </w:tcPr>
          <w:p w14:paraId="2CE512E9" w14:textId="77777777" w:rsidR="00A640E3" w:rsidRPr="00DC07E6" w:rsidRDefault="00A640E3" w:rsidP="00A640E3">
            <w:pPr>
              <w:rPr>
                <w:sz w:val="18"/>
                <w:szCs w:val="18"/>
              </w:rPr>
            </w:pPr>
            <w:r w:rsidRPr="00DC07E6">
              <w:rPr>
                <w:sz w:val="18"/>
                <w:szCs w:val="18"/>
              </w:rPr>
              <w:t>Percentage of students who move from proficient to advanced in math (state assessment)</w:t>
            </w:r>
          </w:p>
        </w:tc>
        <w:tc>
          <w:tcPr>
            <w:tcW w:w="751" w:type="pct"/>
            <w:vMerge/>
          </w:tcPr>
          <w:p w14:paraId="6B1342B8" w14:textId="77777777" w:rsidR="00A640E3" w:rsidRPr="00DC07E6" w:rsidRDefault="00A640E3" w:rsidP="00A640E3">
            <w:pPr>
              <w:rPr>
                <w:sz w:val="18"/>
                <w:szCs w:val="18"/>
              </w:rPr>
            </w:pPr>
          </w:p>
        </w:tc>
        <w:tc>
          <w:tcPr>
            <w:tcW w:w="963" w:type="pct"/>
            <w:tcBorders>
              <w:bottom w:val="single" w:sz="4" w:space="0" w:color="auto"/>
            </w:tcBorders>
            <w:shd w:val="clear" w:color="auto" w:fill="B3B3B3"/>
          </w:tcPr>
          <w:p w14:paraId="5CF37105" w14:textId="77777777" w:rsidR="00A640E3" w:rsidRPr="00DC07E6" w:rsidRDefault="00A640E3" w:rsidP="00A640E3">
            <w:pPr>
              <w:rPr>
                <w:sz w:val="18"/>
                <w:szCs w:val="18"/>
              </w:rPr>
            </w:pPr>
            <w:r w:rsidRPr="00DC07E6">
              <w:rPr>
                <w:sz w:val="18"/>
                <w:szCs w:val="18"/>
              </w:rPr>
              <w:t>Discipline referrals between Black and Hispanic students</w:t>
            </w:r>
          </w:p>
        </w:tc>
      </w:tr>
      <w:tr w:rsidR="00A640E3" w14:paraId="277625B3" w14:textId="77777777" w:rsidTr="008C58E0">
        <w:tc>
          <w:tcPr>
            <w:tcW w:w="400" w:type="pct"/>
            <w:vMerge w:val="restart"/>
          </w:tcPr>
          <w:p w14:paraId="7D48540E" w14:textId="77777777" w:rsidR="00A640E3" w:rsidRPr="00DC07E6" w:rsidRDefault="00A640E3" w:rsidP="00A640E3">
            <w:pPr>
              <w:rPr>
                <w:sz w:val="18"/>
                <w:szCs w:val="18"/>
              </w:rPr>
            </w:pPr>
            <w:r w:rsidRPr="00DC07E6">
              <w:rPr>
                <w:sz w:val="18"/>
                <w:szCs w:val="18"/>
              </w:rPr>
              <w:t>Elementary school B</w:t>
            </w:r>
          </w:p>
        </w:tc>
        <w:tc>
          <w:tcPr>
            <w:tcW w:w="394" w:type="pct"/>
            <w:vMerge w:val="restart"/>
            <w:shd w:val="clear" w:color="auto" w:fill="auto"/>
          </w:tcPr>
          <w:p w14:paraId="686263B1" w14:textId="2974C2C7" w:rsidR="00A640E3" w:rsidRPr="00DC07E6" w:rsidRDefault="00A640E3" w:rsidP="00A640E3">
            <w:pPr>
              <w:rPr>
                <w:sz w:val="18"/>
                <w:szCs w:val="18"/>
              </w:rPr>
            </w:pPr>
            <w:r w:rsidRPr="00DC07E6">
              <w:rPr>
                <w:sz w:val="18"/>
                <w:szCs w:val="18"/>
              </w:rPr>
              <w:t>Growth in students proficient or above in math and reading</w:t>
            </w:r>
          </w:p>
        </w:tc>
        <w:tc>
          <w:tcPr>
            <w:tcW w:w="510" w:type="pct"/>
            <w:vMerge w:val="restart"/>
            <w:shd w:val="clear" w:color="auto" w:fill="auto"/>
          </w:tcPr>
          <w:p w14:paraId="357C2AF0" w14:textId="708A55D6" w:rsidR="00A640E3" w:rsidRPr="00DC07E6" w:rsidRDefault="00A640E3" w:rsidP="00A640E3">
            <w:pPr>
              <w:rPr>
                <w:sz w:val="18"/>
                <w:szCs w:val="18"/>
              </w:rPr>
            </w:pPr>
            <w:r w:rsidRPr="00DC07E6">
              <w:rPr>
                <w:sz w:val="18"/>
                <w:szCs w:val="18"/>
              </w:rPr>
              <w:t>Percentage of students proficient in math and reading in all subgroups</w:t>
            </w:r>
          </w:p>
        </w:tc>
        <w:tc>
          <w:tcPr>
            <w:tcW w:w="444" w:type="pct"/>
            <w:vMerge w:val="restart"/>
            <w:shd w:val="clear" w:color="auto" w:fill="auto"/>
          </w:tcPr>
          <w:p w14:paraId="6DD926A4" w14:textId="05638FC3" w:rsidR="00A640E3" w:rsidRPr="00DC07E6" w:rsidRDefault="00A640E3" w:rsidP="00A640E3">
            <w:pPr>
              <w:rPr>
                <w:sz w:val="18"/>
                <w:szCs w:val="18"/>
              </w:rPr>
            </w:pPr>
            <w:r w:rsidRPr="00DC07E6">
              <w:rPr>
                <w:sz w:val="18"/>
                <w:szCs w:val="18"/>
              </w:rPr>
              <w:t>Growth in proficiency among English language learners</w:t>
            </w:r>
          </w:p>
        </w:tc>
        <w:tc>
          <w:tcPr>
            <w:tcW w:w="409" w:type="pct"/>
            <w:vMerge w:val="restart"/>
            <w:shd w:val="clear" w:color="auto" w:fill="FFFFFF"/>
          </w:tcPr>
          <w:p w14:paraId="5ACD9AE4" w14:textId="73CF2C08" w:rsidR="00A640E3" w:rsidRPr="00DC07E6" w:rsidRDefault="00A640E3" w:rsidP="00A640E3">
            <w:pPr>
              <w:rPr>
                <w:sz w:val="18"/>
                <w:szCs w:val="18"/>
              </w:rPr>
            </w:pPr>
            <w:r w:rsidRPr="00DC07E6">
              <w:rPr>
                <w:sz w:val="18"/>
                <w:szCs w:val="18"/>
              </w:rPr>
              <w:t>Nationally normed assessment</w:t>
            </w:r>
          </w:p>
        </w:tc>
        <w:tc>
          <w:tcPr>
            <w:tcW w:w="444" w:type="pct"/>
            <w:vMerge w:val="restart"/>
          </w:tcPr>
          <w:p w14:paraId="1CBC0CB3" w14:textId="77777777" w:rsidR="00A640E3" w:rsidRPr="00DC07E6" w:rsidRDefault="00A640E3" w:rsidP="00A640E3">
            <w:pPr>
              <w:rPr>
                <w:sz w:val="18"/>
                <w:szCs w:val="18"/>
              </w:rPr>
            </w:pPr>
            <w:r w:rsidRPr="00DC07E6">
              <w:rPr>
                <w:sz w:val="18"/>
                <w:szCs w:val="18"/>
              </w:rPr>
              <w:t>Science assessment (locally developed)</w:t>
            </w:r>
          </w:p>
        </w:tc>
        <w:tc>
          <w:tcPr>
            <w:tcW w:w="683" w:type="pct"/>
            <w:tcBorders>
              <w:bottom w:val="single" w:sz="4" w:space="0" w:color="auto"/>
            </w:tcBorders>
            <w:shd w:val="clear" w:color="auto" w:fill="B3B3B3"/>
          </w:tcPr>
          <w:p w14:paraId="753FE9C5" w14:textId="77777777" w:rsidR="00A640E3" w:rsidRPr="00DC07E6" w:rsidRDefault="00A640E3" w:rsidP="00A640E3">
            <w:pPr>
              <w:rPr>
                <w:sz w:val="18"/>
                <w:szCs w:val="18"/>
              </w:rPr>
            </w:pPr>
            <w:r w:rsidRPr="00DC07E6">
              <w:rPr>
                <w:sz w:val="18"/>
                <w:szCs w:val="18"/>
              </w:rPr>
              <w:t>3</w:t>
            </w:r>
            <w:r w:rsidRPr="00DC07E6">
              <w:rPr>
                <w:sz w:val="18"/>
                <w:szCs w:val="18"/>
                <w:vertAlign w:val="superscript"/>
              </w:rPr>
              <w:t>rd</w:t>
            </w:r>
            <w:r w:rsidRPr="00DC07E6">
              <w:rPr>
                <w:sz w:val="18"/>
                <w:szCs w:val="18"/>
              </w:rPr>
              <w:t xml:space="preserve"> grade reading assessment (state)</w:t>
            </w:r>
          </w:p>
          <w:p w14:paraId="2FF813FE" w14:textId="77777777" w:rsidR="00A640E3" w:rsidRPr="00DC07E6" w:rsidRDefault="00A640E3" w:rsidP="00A640E3">
            <w:pPr>
              <w:jc w:val="center"/>
              <w:rPr>
                <w:sz w:val="18"/>
                <w:szCs w:val="18"/>
              </w:rPr>
            </w:pPr>
          </w:p>
        </w:tc>
        <w:tc>
          <w:tcPr>
            <w:tcW w:w="751" w:type="pct"/>
            <w:vMerge w:val="restart"/>
          </w:tcPr>
          <w:p w14:paraId="5B23C0A0" w14:textId="77777777" w:rsidR="00A640E3" w:rsidRPr="00DC07E6" w:rsidRDefault="00A640E3" w:rsidP="00A640E3">
            <w:pPr>
              <w:rPr>
                <w:sz w:val="18"/>
                <w:szCs w:val="18"/>
              </w:rPr>
            </w:pPr>
            <w:r w:rsidRPr="00DC07E6">
              <w:rPr>
                <w:sz w:val="18"/>
                <w:szCs w:val="18"/>
              </w:rPr>
              <w:t>Student, parent, and staff surveys (locally developed)</w:t>
            </w:r>
          </w:p>
        </w:tc>
        <w:tc>
          <w:tcPr>
            <w:tcW w:w="963" w:type="pct"/>
            <w:shd w:val="clear" w:color="auto" w:fill="B3B3B3"/>
          </w:tcPr>
          <w:p w14:paraId="05A1B3AA" w14:textId="24AAC30E" w:rsidR="00A640E3" w:rsidRPr="00DC07E6" w:rsidRDefault="00A640E3" w:rsidP="00A640E3">
            <w:pPr>
              <w:rPr>
                <w:sz w:val="18"/>
                <w:szCs w:val="18"/>
              </w:rPr>
            </w:pPr>
            <w:r w:rsidRPr="00DC07E6">
              <w:rPr>
                <w:sz w:val="18"/>
                <w:szCs w:val="18"/>
              </w:rPr>
              <w:t>Decrease in achievement gap between Hispanic</w:t>
            </w:r>
            <w:r w:rsidR="00CF27C2" w:rsidRPr="00DC07E6">
              <w:rPr>
                <w:sz w:val="18"/>
                <w:szCs w:val="18"/>
              </w:rPr>
              <w:t xml:space="preserve"> and W</w:t>
            </w:r>
            <w:r w:rsidRPr="00DC07E6">
              <w:rPr>
                <w:sz w:val="18"/>
                <w:szCs w:val="18"/>
              </w:rPr>
              <w:t>hite students (nationally normed assessment)</w:t>
            </w:r>
          </w:p>
        </w:tc>
      </w:tr>
      <w:tr w:rsidR="00A640E3" w14:paraId="6F80C69D" w14:textId="77777777" w:rsidTr="008C58E0">
        <w:tc>
          <w:tcPr>
            <w:tcW w:w="400" w:type="pct"/>
            <w:vMerge/>
          </w:tcPr>
          <w:p w14:paraId="7A910C8E" w14:textId="77777777" w:rsidR="00A640E3" w:rsidRPr="00DC07E6" w:rsidRDefault="00A640E3" w:rsidP="00A640E3">
            <w:pPr>
              <w:rPr>
                <w:sz w:val="18"/>
                <w:szCs w:val="18"/>
              </w:rPr>
            </w:pPr>
          </w:p>
        </w:tc>
        <w:tc>
          <w:tcPr>
            <w:tcW w:w="394" w:type="pct"/>
            <w:vMerge/>
            <w:shd w:val="clear" w:color="auto" w:fill="auto"/>
          </w:tcPr>
          <w:p w14:paraId="4AF03875" w14:textId="77777777" w:rsidR="00A640E3" w:rsidRPr="00DC07E6" w:rsidRDefault="00A640E3" w:rsidP="00A640E3">
            <w:pPr>
              <w:rPr>
                <w:sz w:val="18"/>
                <w:szCs w:val="18"/>
              </w:rPr>
            </w:pPr>
          </w:p>
        </w:tc>
        <w:tc>
          <w:tcPr>
            <w:tcW w:w="510" w:type="pct"/>
            <w:vMerge/>
            <w:shd w:val="clear" w:color="auto" w:fill="auto"/>
          </w:tcPr>
          <w:p w14:paraId="38941922" w14:textId="21977856" w:rsidR="00A640E3" w:rsidRPr="00DC07E6" w:rsidRDefault="00A640E3" w:rsidP="00A640E3">
            <w:pPr>
              <w:rPr>
                <w:sz w:val="18"/>
                <w:szCs w:val="18"/>
              </w:rPr>
            </w:pPr>
          </w:p>
        </w:tc>
        <w:tc>
          <w:tcPr>
            <w:tcW w:w="444" w:type="pct"/>
            <w:vMerge/>
            <w:shd w:val="clear" w:color="auto" w:fill="auto"/>
          </w:tcPr>
          <w:p w14:paraId="71F73807" w14:textId="7788077C" w:rsidR="00A640E3" w:rsidRPr="00DC07E6" w:rsidRDefault="00A640E3" w:rsidP="00A640E3">
            <w:pPr>
              <w:rPr>
                <w:sz w:val="18"/>
                <w:szCs w:val="18"/>
              </w:rPr>
            </w:pPr>
          </w:p>
        </w:tc>
        <w:tc>
          <w:tcPr>
            <w:tcW w:w="409" w:type="pct"/>
            <w:vMerge/>
            <w:tcBorders>
              <w:top w:val="single" w:sz="4" w:space="0" w:color="auto"/>
            </w:tcBorders>
            <w:shd w:val="clear" w:color="auto" w:fill="FFFFFF"/>
          </w:tcPr>
          <w:p w14:paraId="299B9D32" w14:textId="3EAC459C" w:rsidR="00A640E3" w:rsidRPr="00DC07E6" w:rsidRDefault="00A640E3" w:rsidP="00A640E3">
            <w:pPr>
              <w:rPr>
                <w:sz w:val="18"/>
                <w:szCs w:val="18"/>
              </w:rPr>
            </w:pPr>
          </w:p>
        </w:tc>
        <w:tc>
          <w:tcPr>
            <w:tcW w:w="444" w:type="pct"/>
            <w:vMerge/>
          </w:tcPr>
          <w:p w14:paraId="51EA5982" w14:textId="77777777" w:rsidR="00A640E3" w:rsidRPr="00DC07E6" w:rsidRDefault="00A640E3" w:rsidP="00A640E3">
            <w:pPr>
              <w:rPr>
                <w:sz w:val="18"/>
                <w:szCs w:val="18"/>
              </w:rPr>
            </w:pPr>
          </w:p>
        </w:tc>
        <w:tc>
          <w:tcPr>
            <w:tcW w:w="683" w:type="pct"/>
            <w:shd w:val="clear" w:color="auto" w:fill="B3B3B3"/>
          </w:tcPr>
          <w:p w14:paraId="2678C1F8" w14:textId="77777777" w:rsidR="00A640E3" w:rsidRPr="00DC07E6" w:rsidRDefault="00A640E3" w:rsidP="00A640E3">
            <w:pPr>
              <w:rPr>
                <w:sz w:val="18"/>
                <w:szCs w:val="18"/>
              </w:rPr>
            </w:pPr>
            <w:r w:rsidRPr="00DC07E6">
              <w:rPr>
                <w:sz w:val="18"/>
                <w:szCs w:val="18"/>
              </w:rPr>
              <w:t>Growth of lowest performing students (nationally normed assessment)</w:t>
            </w:r>
          </w:p>
        </w:tc>
        <w:tc>
          <w:tcPr>
            <w:tcW w:w="751" w:type="pct"/>
            <w:vMerge/>
          </w:tcPr>
          <w:p w14:paraId="01B61699" w14:textId="77777777" w:rsidR="00A640E3" w:rsidRPr="00DC07E6" w:rsidRDefault="00A640E3" w:rsidP="00A640E3">
            <w:pPr>
              <w:rPr>
                <w:sz w:val="18"/>
                <w:szCs w:val="18"/>
              </w:rPr>
            </w:pPr>
          </w:p>
        </w:tc>
        <w:tc>
          <w:tcPr>
            <w:tcW w:w="963" w:type="pct"/>
          </w:tcPr>
          <w:p w14:paraId="418D9458" w14:textId="6FE20279" w:rsidR="00A640E3" w:rsidRPr="00DC07E6" w:rsidRDefault="00A640E3" w:rsidP="00A640E3">
            <w:pPr>
              <w:rPr>
                <w:sz w:val="18"/>
                <w:szCs w:val="18"/>
              </w:rPr>
            </w:pPr>
            <w:r w:rsidRPr="00DC07E6">
              <w:rPr>
                <w:sz w:val="18"/>
                <w:szCs w:val="18"/>
              </w:rPr>
              <w:t>Discipline referrals between Hispanic</w:t>
            </w:r>
            <w:r w:rsidR="000D5BDB" w:rsidRPr="00DC07E6">
              <w:rPr>
                <w:sz w:val="18"/>
                <w:szCs w:val="18"/>
              </w:rPr>
              <w:t xml:space="preserve"> and W</w:t>
            </w:r>
            <w:r w:rsidRPr="00DC07E6">
              <w:rPr>
                <w:sz w:val="18"/>
                <w:szCs w:val="18"/>
              </w:rPr>
              <w:t>hite students</w:t>
            </w:r>
          </w:p>
        </w:tc>
      </w:tr>
    </w:tbl>
    <w:p w14:paraId="3A50734A" w14:textId="55D23BB4" w:rsidR="00184D62" w:rsidRPr="00FD4937" w:rsidRDefault="00A640E3" w:rsidP="00184D62">
      <w:pPr>
        <w:rPr>
          <w:sz w:val="4"/>
          <w:szCs w:val="16"/>
        </w:rPr>
      </w:pPr>
      <w:r>
        <w:rPr>
          <w:sz w:val="4"/>
          <w:szCs w:val="16"/>
        </w:rPr>
        <w:br w:type="textWrapping" w:clear="all"/>
      </w:r>
    </w:p>
    <w:tbl>
      <w:tblPr>
        <w:tblStyle w:val="TableGrid"/>
        <w:tblW w:w="0" w:type="auto"/>
        <w:tblInd w:w="18" w:type="dxa"/>
        <w:tblLook w:val="04A0" w:firstRow="1" w:lastRow="0" w:firstColumn="1" w:lastColumn="0" w:noHBand="0" w:noVBand="1"/>
      </w:tblPr>
      <w:tblGrid>
        <w:gridCol w:w="6703"/>
        <w:gridCol w:w="6455"/>
      </w:tblGrid>
      <w:tr w:rsidR="00184D62" w14:paraId="61AC7357" w14:textId="77777777" w:rsidTr="00A640E3">
        <w:tc>
          <w:tcPr>
            <w:tcW w:w="6703" w:type="dxa"/>
          </w:tcPr>
          <w:p w14:paraId="3B63BA45" w14:textId="77777777" w:rsidR="00184D62" w:rsidRDefault="00184D62" w:rsidP="00001970">
            <w:pPr>
              <w:rPr>
                <w:i/>
              </w:rPr>
            </w:pPr>
            <w:r w:rsidRPr="002D078E">
              <w:rPr>
                <w:i/>
              </w:rPr>
              <w:t>Summative calculation</w:t>
            </w:r>
            <w:r>
              <w:rPr>
                <w:i/>
              </w:rPr>
              <w:t xml:space="preserve"> for elementary school A</w:t>
            </w:r>
          </w:p>
          <w:p w14:paraId="7BEDC17A" w14:textId="77777777" w:rsidR="00184D62" w:rsidRPr="00AA0EB1" w:rsidRDefault="00184D62" w:rsidP="00001970">
            <w:pPr>
              <w:rPr>
                <w:i/>
                <w:sz w:val="6"/>
                <w:szCs w:val="16"/>
              </w:rPr>
            </w:pPr>
          </w:p>
          <w:p w14:paraId="6B247268" w14:textId="5783C466" w:rsidR="00184D62" w:rsidRDefault="008B6840" w:rsidP="00184D62">
            <w:pPr>
              <w:pStyle w:val="ListParagraph"/>
              <w:numPr>
                <w:ilvl w:val="0"/>
                <w:numId w:val="9"/>
              </w:numPr>
              <w:rPr>
                <w:sz w:val="18"/>
                <w:szCs w:val="18"/>
              </w:rPr>
            </w:pPr>
            <w:r>
              <w:rPr>
                <w:sz w:val="18"/>
                <w:szCs w:val="18"/>
              </w:rPr>
              <w:t>Met 6 out of 10</w:t>
            </w:r>
            <w:r w:rsidR="00184D62" w:rsidRPr="00D60975">
              <w:rPr>
                <w:sz w:val="18"/>
                <w:szCs w:val="18"/>
              </w:rPr>
              <w:t xml:space="preserve"> </w:t>
            </w:r>
            <w:r w:rsidR="008F6E1E">
              <w:rPr>
                <w:sz w:val="18"/>
                <w:szCs w:val="18"/>
              </w:rPr>
              <w:t>measures</w:t>
            </w:r>
          </w:p>
          <w:p w14:paraId="7046012E" w14:textId="1A08EA9C" w:rsidR="00184D62" w:rsidRDefault="00184D62" w:rsidP="00184D62">
            <w:pPr>
              <w:pStyle w:val="ListParagraph"/>
              <w:numPr>
                <w:ilvl w:val="0"/>
                <w:numId w:val="9"/>
              </w:numPr>
              <w:rPr>
                <w:sz w:val="18"/>
                <w:szCs w:val="18"/>
              </w:rPr>
            </w:pPr>
            <w:r>
              <w:rPr>
                <w:sz w:val="18"/>
                <w:szCs w:val="18"/>
              </w:rPr>
              <w:t>Performance contra</w:t>
            </w:r>
            <w:r w:rsidR="00451D59">
              <w:rPr>
                <w:sz w:val="18"/>
                <w:szCs w:val="18"/>
              </w:rPr>
              <w:t>ct called for meeting 4</w:t>
            </w:r>
            <w:r w:rsidR="008B6840">
              <w:rPr>
                <w:sz w:val="18"/>
                <w:szCs w:val="18"/>
              </w:rPr>
              <w:t xml:space="preserve"> out of 10</w:t>
            </w:r>
            <w:r>
              <w:rPr>
                <w:sz w:val="18"/>
                <w:szCs w:val="18"/>
              </w:rPr>
              <w:t xml:space="preserve"> </w:t>
            </w:r>
            <w:r w:rsidR="008F6E1E">
              <w:rPr>
                <w:sz w:val="18"/>
                <w:szCs w:val="18"/>
              </w:rPr>
              <w:t>measures</w:t>
            </w:r>
          </w:p>
          <w:p w14:paraId="48A83639" w14:textId="77777777" w:rsidR="00184D62" w:rsidRPr="0094419E" w:rsidRDefault="00184D62" w:rsidP="00184D62">
            <w:pPr>
              <w:pStyle w:val="ListParagraph"/>
              <w:numPr>
                <w:ilvl w:val="0"/>
                <w:numId w:val="9"/>
              </w:numPr>
              <w:rPr>
                <w:b/>
                <w:sz w:val="18"/>
                <w:szCs w:val="18"/>
              </w:rPr>
            </w:pPr>
            <w:r w:rsidRPr="0094419E">
              <w:rPr>
                <w:b/>
                <w:sz w:val="18"/>
                <w:szCs w:val="18"/>
              </w:rPr>
              <w:t>Final grade:</w:t>
            </w:r>
            <w:r>
              <w:rPr>
                <w:b/>
                <w:sz w:val="18"/>
                <w:szCs w:val="18"/>
              </w:rPr>
              <w:t xml:space="preserve"> C+</w:t>
            </w:r>
          </w:p>
          <w:p w14:paraId="783513ED" w14:textId="77777777" w:rsidR="00184D62" w:rsidRDefault="00184D62" w:rsidP="00001970">
            <w:pPr>
              <w:rPr>
                <w:i/>
              </w:rPr>
            </w:pPr>
          </w:p>
        </w:tc>
        <w:tc>
          <w:tcPr>
            <w:tcW w:w="6455" w:type="dxa"/>
          </w:tcPr>
          <w:p w14:paraId="274A6888" w14:textId="77777777" w:rsidR="00184D62" w:rsidRDefault="00184D62" w:rsidP="00001970">
            <w:pPr>
              <w:rPr>
                <w:i/>
              </w:rPr>
            </w:pPr>
            <w:r w:rsidRPr="002D078E">
              <w:rPr>
                <w:i/>
              </w:rPr>
              <w:t>Summative calculation</w:t>
            </w:r>
            <w:r>
              <w:rPr>
                <w:i/>
              </w:rPr>
              <w:t xml:space="preserve"> for elementary school B</w:t>
            </w:r>
          </w:p>
          <w:p w14:paraId="6C98DF94" w14:textId="77777777" w:rsidR="00184D62" w:rsidRPr="00AA0EB1" w:rsidRDefault="00184D62" w:rsidP="00001970">
            <w:pPr>
              <w:ind w:firstLine="720"/>
              <w:rPr>
                <w:i/>
                <w:sz w:val="6"/>
                <w:szCs w:val="16"/>
              </w:rPr>
            </w:pPr>
          </w:p>
          <w:p w14:paraId="3FC6171E" w14:textId="5BDE7DE3" w:rsidR="00184D62" w:rsidRDefault="00DC4DDF" w:rsidP="00184D62">
            <w:pPr>
              <w:pStyle w:val="ListParagraph"/>
              <w:numPr>
                <w:ilvl w:val="0"/>
                <w:numId w:val="9"/>
              </w:numPr>
              <w:rPr>
                <w:sz w:val="18"/>
                <w:szCs w:val="18"/>
              </w:rPr>
            </w:pPr>
            <w:r>
              <w:rPr>
                <w:sz w:val="18"/>
                <w:szCs w:val="18"/>
              </w:rPr>
              <w:t>Met 7</w:t>
            </w:r>
            <w:r w:rsidR="008B6840">
              <w:rPr>
                <w:sz w:val="18"/>
                <w:szCs w:val="18"/>
              </w:rPr>
              <w:t xml:space="preserve"> out of 10</w:t>
            </w:r>
            <w:r w:rsidR="00184D62" w:rsidRPr="00D60975">
              <w:rPr>
                <w:sz w:val="18"/>
                <w:szCs w:val="18"/>
              </w:rPr>
              <w:t xml:space="preserve"> </w:t>
            </w:r>
            <w:r w:rsidR="008F6E1E">
              <w:rPr>
                <w:sz w:val="18"/>
                <w:szCs w:val="18"/>
              </w:rPr>
              <w:t>measures</w:t>
            </w:r>
          </w:p>
          <w:p w14:paraId="2D71B889" w14:textId="7048F18F" w:rsidR="00184D62" w:rsidRDefault="00184D62" w:rsidP="00184D62">
            <w:pPr>
              <w:pStyle w:val="ListParagraph"/>
              <w:numPr>
                <w:ilvl w:val="0"/>
                <w:numId w:val="9"/>
              </w:numPr>
              <w:rPr>
                <w:sz w:val="18"/>
                <w:szCs w:val="18"/>
              </w:rPr>
            </w:pPr>
            <w:r>
              <w:rPr>
                <w:sz w:val="18"/>
                <w:szCs w:val="18"/>
              </w:rPr>
              <w:t>Performance contra</w:t>
            </w:r>
            <w:r w:rsidR="008C58E0">
              <w:rPr>
                <w:sz w:val="18"/>
                <w:szCs w:val="18"/>
              </w:rPr>
              <w:t>ct called for meeting 9</w:t>
            </w:r>
            <w:r w:rsidR="008B6840">
              <w:rPr>
                <w:sz w:val="18"/>
                <w:szCs w:val="18"/>
              </w:rPr>
              <w:t xml:space="preserve"> out of 10</w:t>
            </w:r>
            <w:r>
              <w:rPr>
                <w:sz w:val="18"/>
                <w:szCs w:val="18"/>
              </w:rPr>
              <w:t xml:space="preserve"> </w:t>
            </w:r>
            <w:r w:rsidR="008F6E1E">
              <w:rPr>
                <w:sz w:val="18"/>
                <w:szCs w:val="18"/>
              </w:rPr>
              <w:t>measures</w:t>
            </w:r>
          </w:p>
          <w:p w14:paraId="7EC1230D" w14:textId="77777777" w:rsidR="00184D62" w:rsidRPr="0094419E" w:rsidRDefault="00184D62" w:rsidP="00184D62">
            <w:pPr>
              <w:pStyle w:val="ListParagraph"/>
              <w:numPr>
                <w:ilvl w:val="0"/>
                <w:numId w:val="9"/>
              </w:numPr>
              <w:rPr>
                <w:b/>
                <w:sz w:val="18"/>
                <w:szCs w:val="18"/>
              </w:rPr>
            </w:pPr>
            <w:r w:rsidRPr="0094419E">
              <w:rPr>
                <w:b/>
                <w:sz w:val="18"/>
                <w:szCs w:val="18"/>
              </w:rPr>
              <w:t>Final grade</w:t>
            </w:r>
            <w:r>
              <w:rPr>
                <w:b/>
                <w:sz w:val="18"/>
                <w:szCs w:val="18"/>
              </w:rPr>
              <w:t>: B-</w:t>
            </w:r>
          </w:p>
          <w:p w14:paraId="526AAE45" w14:textId="77777777" w:rsidR="00184D62" w:rsidRDefault="00184D62" w:rsidP="00001970">
            <w:pPr>
              <w:rPr>
                <w:i/>
              </w:rPr>
            </w:pPr>
          </w:p>
        </w:tc>
      </w:tr>
    </w:tbl>
    <w:p w14:paraId="4E77060A" w14:textId="77777777" w:rsidR="00994DE5" w:rsidRDefault="00994DE5" w:rsidP="00994DE5"/>
    <w:sectPr w:rsidR="00994DE5" w:rsidSect="00A4677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AC96A" w14:textId="77777777" w:rsidR="00001970" w:rsidRDefault="00001970" w:rsidP="00680C41">
      <w:r>
        <w:separator/>
      </w:r>
    </w:p>
  </w:endnote>
  <w:endnote w:type="continuationSeparator" w:id="0">
    <w:p w14:paraId="23FBC377" w14:textId="77777777" w:rsidR="00001970" w:rsidRDefault="00001970" w:rsidP="0068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3541" w14:textId="77777777" w:rsidR="00001970" w:rsidRDefault="00001970" w:rsidP="00B25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43CCB" w14:textId="77777777" w:rsidR="00001970" w:rsidRDefault="00001970" w:rsidP="00C334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E40C" w14:textId="77777777" w:rsidR="00001970" w:rsidRDefault="00001970" w:rsidP="00B252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7E6">
      <w:rPr>
        <w:rStyle w:val="PageNumber"/>
        <w:noProof/>
      </w:rPr>
      <w:t>1</w:t>
    </w:r>
    <w:r>
      <w:rPr>
        <w:rStyle w:val="PageNumber"/>
      </w:rPr>
      <w:fldChar w:fldCharType="end"/>
    </w:r>
  </w:p>
  <w:p w14:paraId="6057CC56" w14:textId="77777777" w:rsidR="00001970" w:rsidRDefault="00001970" w:rsidP="00680C41">
    <w:pPr>
      <w:pStyle w:val="Footer"/>
      <w:tabs>
        <w:tab w:val="clear" w:pos="4320"/>
        <w:tab w:val="clear" w:pos="8640"/>
        <w:tab w:val="left" w:pos="987"/>
      </w:tabs>
      <w:ind w:right="360"/>
    </w:pPr>
    <w:r>
      <w:t>America Succeeds</w:t>
    </w:r>
  </w:p>
  <w:p w14:paraId="4249FD9A" w14:textId="7275701B" w:rsidR="00001970" w:rsidRDefault="00001970" w:rsidP="00680C41">
    <w:pPr>
      <w:pStyle w:val="Footer"/>
      <w:tabs>
        <w:tab w:val="clear" w:pos="4320"/>
        <w:tab w:val="clear" w:pos="8640"/>
        <w:tab w:val="left" w:pos="987"/>
      </w:tabs>
      <w:ind w:right="360"/>
    </w:pPr>
    <w:r>
      <w:t>January 21, 2016</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38A5" w14:textId="77777777" w:rsidR="00001970" w:rsidRDefault="00001970" w:rsidP="00680C41">
      <w:r>
        <w:separator/>
      </w:r>
    </w:p>
  </w:footnote>
  <w:footnote w:type="continuationSeparator" w:id="0">
    <w:p w14:paraId="0CCF08A2" w14:textId="77777777" w:rsidR="00001970" w:rsidRDefault="00001970" w:rsidP="00680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FBCF2" w14:textId="483A7EEF" w:rsidR="00001970" w:rsidRDefault="00001970">
    <w:pPr>
      <w:pStyle w:val="Header"/>
    </w:pPr>
    <w:r>
      <w:t>Thomas B. Fordham Institute</w:t>
    </w:r>
  </w:p>
  <w:p w14:paraId="1FB39A7D" w14:textId="000728A5" w:rsidR="00001970" w:rsidRDefault="00001970">
    <w:pPr>
      <w:pStyle w:val="Header"/>
    </w:pPr>
    <w:r>
      <w:t>Accountability Under ESSA Design Competition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E34"/>
    <w:multiLevelType w:val="hybridMultilevel"/>
    <w:tmpl w:val="61A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7FAB"/>
    <w:multiLevelType w:val="hybridMultilevel"/>
    <w:tmpl w:val="427E6546"/>
    <w:lvl w:ilvl="0" w:tplc="0409000F">
      <w:start w:val="1"/>
      <w:numFmt w:val="decimal"/>
      <w:lvlText w:val="%1."/>
      <w:lvlJc w:val="left"/>
      <w:pPr>
        <w:ind w:left="720" w:hanging="360"/>
      </w:pPr>
      <w:rPr>
        <w:rFonts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85F21"/>
    <w:multiLevelType w:val="hybridMultilevel"/>
    <w:tmpl w:val="236E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817B9"/>
    <w:multiLevelType w:val="hybridMultilevel"/>
    <w:tmpl w:val="A8A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13E4E"/>
    <w:multiLevelType w:val="hybridMultilevel"/>
    <w:tmpl w:val="014C3D94"/>
    <w:lvl w:ilvl="0" w:tplc="3C561AFE">
      <w:start w:val="1"/>
      <w:numFmt w:val="bullet"/>
      <w:lvlText w:val=""/>
      <w:lvlJc w:val="left"/>
      <w:pPr>
        <w:ind w:left="720" w:hanging="360"/>
      </w:pPr>
      <w:rPr>
        <w:rFonts w:ascii="Symbol" w:hAnsi="Symbol"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756B8"/>
    <w:multiLevelType w:val="hybridMultilevel"/>
    <w:tmpl w:val="31A04B26"/>
    <w:lvl w:ilvl="0" w:tplc="3C561AFE">
      <w:start w:val="1"/>
      <w:numFmt w:val="bullet"/>
      <w:lvlText w:val=""/>
      <w:lvlJc w:val="left"/>
      <w:pPr>
        <w:ind w:left="720" w:hanging="360"/>
      </w:pPr>
      <w:rPr>
        <w:rFonts w:ascii="Symbol" w:hAnsi="Symbol"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73CB5"/>
    <w:multiLevelType w:val="hybridMultilevel"/>
    <w:tmpl w:val="394099E2"/>
    <w:lvl w:ilvl="0" w:tplc="3C561AFE">
      <w:start w:val="1"/>
      <w:numFmt w:val="bullet"/>
      <w:lvlText w:val=""/>
      <w:lvlJc w:val="left"/>
      <w:pPr>
        <w:ind w:left="720" w:hanging="360"/>
      </w:pPr>
      <w:rPr>
        <w:rFonts w:ascii="Symbol" w:hAnsi="Symbol"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858B2"/>
    <w:multiLevelType w:val="hybridMultilevel"/>
    <w:tmpl w:val="6300569C"/>
    <w:lvl w:ilvl="0" w:tplc="A0F8D2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69298B"/>
    <w:multiLevelType w:val="hybridMultilevel"/>
    <w:tmpl w:val="F8A6953E"/>
    <w:lvl w:ilvl="0" w:tplc="3C561AFE">
      <w:start w:val="1"/>
      <w:numFmt w:val="bullet"/>
      <w:lvlText w:val=""/>
      <w:lvlJc w:val="left"/>
      <w:pPr>
        <w:ind w:left="720" w:hanging="360"/>
      </w:pPr>
      <w:rPr>
        <w:rFonts w:ascii="Symbol" w:hAnsi="Symbol" w:hint="default"/>
        <w:color w:val="4F81BD" w:themeColor="accent1"/>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7E"/>
    <w:rsid w:val="00000C5E"/>
    <w:rsid w:val="00001970"/>
    <w:rsid w:val="000079ED"/>
    <w:rsid w:val="0001328E"/>
    <w:rsid w:val="00031C50"/>
    <w:rsid w:val="000337E4"/>
    <w:rsid w:val="000419F3"/>
    <w:rsid w:val="00044FF6"/>
    <w:rsid w:val="00053DF8"/>
    <w:rsid w:val="0006736B"/>
    <w:rsid w:val="00071673"/>
    <w:rsid w:val="000746BF"/>
    <w:rsid w:val="00082190"/>
    <w:rsid w:val="00084F77"/>
    <w:rsid w:val="000B0A4F"/>
    <w:rsid w:val="000D1A6D"/>
    <w:rsid w:val="000D4304"/>
    <w:rsid w:val="000D5BDB"/>
    <w:rsid w:val="000E100E"/>
    <w:rsid w:val="000F2D43"/>
    <w:rsid w:val="0013275C"/>
    <w:rsid w:val="00136979"/>
    <w:rsid w:val="001370B8"/>
    <w:rsid w:val="00141D18"/>
    <w:rsid w:val="001463EF"/>
    <w:rsid w:val="001664BB"/>
    <w:rsid w:val="001674D6"/>
    <w:rsid w:val="00184D62"/>
    <w:rsid w:val="0018514F"/>
    <w:rsid w:val="00186331"/>
    <w:rsid w:val="001A6122"/>
    <w:rsid w:val="001E080A"/>
    <w:rsid w:val="0020649E"/>
    <w:rsid w:val="00236610"/>
    <w:rsid w:val="00237AF3"/>
    <w:rsid w:val="00242F6F"/>
    <w:rsid w:val="002504FF"/>
    <w:rsid w:val="0025188F"/>
    <w:rsid w:val="00275A34"/>
    <w:rsid w:val="00283132"/>
    <w:rsid w:val="002C12EB"/>
    <w:rsid w:val="002D7247"/>
    <w:rsid w:val="002F2CD8"/>
    <w:rsid w:val="0031388B"/>
    <w:rsid w:val="003146C4"/>
    <w:rsid w:val="0033396A"/>
    <w:rsid w:val="003446A8"/>
    <w:rsid w:val="003454BD"/>
    <w:rsid w:val="00350368"/>
    <w:rsid w:val="003570CF"/>
    <w:rsid w:val="00390B80"/>
    <w:rsid w:val="003D08B0"/>
    <w:rsid w:val="00403EE6"/>
    <w:rsid w:val="004335B2"/>
    <w:rsid w:val="0044386D"/>
    <w:rsid w:val="00450BB5"/>
    <w:rsid w:val="00451D59"/>
    <w:rsid w:val="00454F79"/>
    <w:rsid w:val="00461B52"/>
    <w:rsid w:val="00470E6F"/>
    <w:rsid w:val="00471491"/>
    <w:rsid w:val="004870AE"/>
    <w:rsid w:val="004A3A8C"/>
    <w:rsid w:val="004A6BA8"/>
    <w:rsid w:val="004B6831"/>
    <w:rsid w:val="004C5110"/>
    <w:rsid w:val="004D631C"/>
    <w:rsid w:val="004F437D"/>
    <w:rsid w:val="005047A9"/>
    <w:rsid w:val="00513AC6"/>
    <w:rsid w:val="00535A41"/>
    <w:rsid w:val="00557249"/>
    <w:rsid w:val="0058084B"/>
    <w:rsid w:val="00581EEE"/>
    <w:rsid w:val="00592D86"/>
    <w:rsid w:val="005C18CD"/>
    <w:rsid w:val="005F27E6"/>
    <w:rsid w:val="005F2C08"/>
    <w:rsid w:val="005F3614"/>
    <w:rsid w:val="00603FB8"/>
    <w:rsid w:val="00607F85"/>
    <w:rsid w:val="00630E22"/>
    <w:rsid w:val="00632554"/>
    <w:rsid w:val="00647E1F"/>
    <w:rsid w:val="0066190B"/>
    <w:rsid w:val="00667773"/>
    <w:rsid w:val="006800E9"/>
    <w:rsid w:val="00680C41"/>
    <w:rsid w:val="00681F8A"/>
    <w:rsid w:val="006969EA"/>
    <w:rsid w:val="006B257C"/>
    <w:rsid w:val="006B5613"/>
    <w:rsid w:val="006C706C"/>
    <w:rsid w:val="006F0F5F"/>
    <w:rsid w:val="006F78F3"/>
    <w:rsid w:val="00717E0D"/>
    <w:rsid w:val="00732CE3"/>
    <w:rsid w:val="00751EC8"/>
    <w:rsid w:val="00752FB0"/>
    <w:rsid w:val="00784DD7"/>
    <w:rsid w:val="007A1350"/>
    <w:rsid w:val="007B4D3B"/>
    <w:rsid w:val="007D194B"/>
    <w:rsid w:val="007D320A"/>
    <w:rsid w:val="00806434"/>
    <w:rsid w:val="0082177B"/>
    <w:rsid w:val="008350A2"/>
    <w:rsid w:val="0083550C"/>
    <w:rsid w:val="00835681"/>
    <w:rsid w:val="00842322"/>
    <w:rsid w:val="0084789E"/>
    <w:rsid w:val="00866CC5"/>
    <w:rsid w:val="008B6840"/>
    <w:rsid w:val="008C58E0"/>
    <w:rsid w:val="008D127A"/>
    <w:rsid w:val="008F19C3"/>
    <w:rsid w:val="008F255B"/>
    <w:rsid w:val="008F6E1E"/>
    <w:rsid w:val="009211EE"/>
    <w:rsid w:val="00923BEF"/>
    <w:rsid w:val="00936668"/>
    <w:rsid w:val="00943B58"/>
    <w:rsid w:val="00961698"/>
    <w:rsid w:val="00966A0C"/>
    <w:rsid w:val="00994DE5"/>
    <w:rsid w:val="009A1514"/>
    <w:rsid w:val="009D3A03"/>
    <w:rsid w:val="009E59CE"/>
    <w:rsid w:val="00A05FCD"/>
    <w:rsid w:val="00A104FA"/>
    <w:rsid w:val="00A2128A"/>
    <w:rsid w:val="00A237B9"/>
    <w:rsid w:val="00A4677E"/>
    <w:rsid w:val="00A51689"/>
    <w:rsid w:val="00A55A93"/>
    <w:rsid w:val="00A63C53"/>
    <w:rsid w:val="00A640E3"/>
    <w:rsid w:val="00A85795"/>
    <w:rsid w:val="00A90CC2"/>
    <w:rsid w:val="00A91494"/>
    <w:rsid w:val="00A924A1"/>
    <w:rsid w:val="00A92EDE"/>
    <w:rsid w:val="00AA17DA"/>
    <w:rsid w:val="00AA52B4"/>
    <w:rsid w:val="00AC2E81"/>
    <w:rsid w:val="00AD5287"/>
    <w:rsid w:val="00AE0B02"/>
    <w:rsid w:val="00AE3AAE"/>
    <w:rsid w:val="00AF4DA0"/>
    <w:rsid w:val="00B14135"/>
    <w:rsid w:val="00B14900"/>
    <w:rsid w:val="00B25204"/>
    <w:rsid w:val="00B64498"/>
    <w:rsid w:val="00B8525A"/>
    <w:rsid w:val="00B9510C"/>
    <w:rsid w:val="00B973B3"/>
    <w:rsid w:val="00BD062C"/>
    <w:rsid w:val="00BD6004"/>
    <w:rsid w:val="00BD6905"/>
    <w:rsid w:val="00C10239"/>
    <w:rsid w:val="00C131A2"/>
    <w:rsid w:val="00C13758"/>
    <w:rsid w:val="00C3349A"/>
    <w:rsid w:val="00C354AE"/>
    <w:rsid w:val="00C53871"/>
    <w:rsid w:val="00C61729"/>
    <w:rsid w:val="00C6673B"/>
    <w:rsid w:val="00C81007"/>
    <w:rsid w:val="00C8351D"/>
    <w:rsid w:val="00C92A91"/>
    <w:rsid w:val="00C97B31"/>
    <w:rsid w:val="00CD2C3C"/>
    <w:rsid w:val="00CF27C2"/>
    <w:rsid w:val="00CF58FB"/>
    <w:rsid w:val="00D23785"/>
    <w:rsid w:val="00D419E1"/>
    <w:rsid w:val="00D479DB"/>
    <w:rsid w:val="00D51BD7"/>
    <w:rsid w:val="00D53043"/>
    <w:rsid w:val="00D85818"/>
    <w:rsid w:val="00D91702"/>
    <w:rsid w:val="00D91970"/>
    <w:rsid w:val="00DB5D3B"/>
    <w:rsid w:val="00DC07E6"/>
    <w:rsid w:val="00DC33BD"/>
    <w:rsid w:val="00DC4DDF"/>
    <w:rsid w:val="00DD52B9"/>
    <w:rsid w:val="00DE7591"/>
    <w:rsid w:val="00E34A3A"/>
    <w:rsid w:val="00E51FDF"/>
    <w:rsid w:val="00E63A28"/>
    <w:rsid w:val="00E77C42"/>
    <w:rsid w:val="00E94DE9"/>
    <w:rsid w:val="00E967BD"/>
    <w:rsid w:val="00E97E7E"/>
    <w:rsid w:val="00EA3364"/>
    <w:rsid w:val="00EC5A7E"/>
    <w:rsid w:val="00EF0955"/>
    <w:rsid w:val="00EF287D"/>
    <w:rsid w:val="00F018F1"/>
    <w:rsid w:val="00F0235D"/>
    <w:rsid w:val="00F70A6E"/>
    <w:rsid w:val="00FB22B6"/>
    <w:rsid w:val="00FC0707"/>
    <w:rsid w:val="00FD71B9"/>
    <w:rsid w:val="00FD7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DF9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E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5A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A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4D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7E"/>
    <w:pPr>
      <w:ind w:left="720"/>
      <w:contextualSpacing/>
    </w:pPr>
  </w:style>
  <w:style w:type="character" w:customStyle="1" w:styleId="Heading2Char">
    <w:name w:val="Heading 2 Char"/>
    <w:basedOn w:val="DefaultParagraphFont"/>
    <w:link w:val="Heading2"/>
    <w:uiPriority w:val="9"/>
    <w:rsid w:val="00EC5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A7E"/>
    <w:rPr>
      <w:rFonts w:asciiTheme="majorHAnsi" w:eastAsiaTheme="majorEastAsia" w:hAnsiTheme="majorHAnsi" w:cstheme="majorBidi"/>
      <w:b/>
      <w:bCs/>
      <w:color w:val="4F81BD" w:themeColor="accent1"/>
    </w:rPr>
  </w:style>
  <w:style w:type="table" w:styleId="TableGrid">
    <w:name w:val="Table Grid"/>
    <w:basedOn w:val="TableNormal"/>
    <w:uiPriority w:val="59"/>
    <w:rsid w:val="00994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94DE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630E22"/>
    <w:rPr>
      <w:sz w:val="18"/>
      <w:szCs w:val="18"/>
    </w:rPr>
  </w:style>
  <w:style w:type="paragraph" w:styleId="CommentText">
    <w:name w:val="annotation text"/>
    <w:basedOn w:val="Normal"/>
    <w:link w:val="CommentTextChar"/>
    <w:uiPriority w:val="99"/>
    <w:semiHidden/>
    <w:unhideWhenUsed/>
    <w:rsid w:val="00630E22"/>
    <w:rPr>
      <w:sz w:val="24"/>
      <w:szCs w:val="24"/>
    </w:rPr>
  </w:style>
  <w:style w:type="character" w:customStyle="1" w:styleId="CommentTextChar">
    <w:name w:val="Comment Text Char"/>
    <w:basedOn w:val="DefaultParagraphFont"/>
    <w:link w:val="CommentText"/>
    <w:uiPriority w:val="99"/>
    <w:semiHidden/>
    <w:rsid w:val="00630E22"/>
    <w:rPr>
      <w:sz w:val="24"/>
      <w:szCs w:val="24"/>
    </w:rPr>
  </w:style>
  <w:style w:type="paragraph" w:styleId="CommentSubject">
    <w:name w:val="annotation subject"/>
    <w:basedOn w:val="CommentText"/>
    <w:next w:val="CommentText"/>
    <w:link w:val="CommentSubjectChar"/>
    <w:uiPriority w:val="99"/>
    <w:semiHidden/>
    <w:unhideWhenUsed/>
    <w:rsid w:val="00630E22"/>
    <w:rPr>
      <w:b/>
      <w:bCs/>
      <w:sz w:val="20"/>
      <w:szCs w:val="20"/>
    </w:rPr>
  </w:style>
  <w:style w:type="character" w:customStyle="1" w:styleId="CommentSubjectChar">
    <w:name w:val="Comment Subject Char"/>
    <w:basedOn w:val="CommentTextChar"/>
    <w:link w:val="CommentSubject"/>
    <w:uiPriority w:val="99"/>
    <w:semiHidden/>
    <w:rsid w:val="00630E22"/>
    <w:rPr>
      <w:b/>
      <w:bCs/>
      <w:sz w:val="20"/>
      <w:szCs w:val="20"/>
    </w:rPr>
  </w:style>
  <w:style w:type="paragraph" w:styleId="BalloonText">
    <w:name w:val="Balloon Text"/>
    <w:basedOn w:val="Normal"/>
    <w:link w:val="BalloonTextChar"/>
    <w:uiPriority w:val="99"/>
    <w:semiHidden/>
    <w:unhideWhenUsed/>
    <w:rsid w:val="00630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E22"/>
    <w:rPr>
      <w:rFonts w:ascii="Lucida Grande" w:hAnsi="Lucida Grande" w:cs="Lucida Grande"/>
      <w:sz w:val="18"/>
      <w:szCs w:val="18"/>
    </w:rPr>
  </w:style>
  <w:style w:type="character" w:styleId="Hyperlink">
    <w:name w:val="Hyperlink"/>
    <w:basedOn w:val="DefaultParagraphFont"/>
    <w:uiPriority w:val="99"/>
    <w:unhideWhenUsed/>
    <w:rsid w:val="00632554"/>
    <w:rPr>
      <w:color w:val="0000FF" w:themeColor="hyperlink"/>
      <w:u w:val="single"/>
    </w:rPr>
  </w:style>
  <w:style w:type="character" w:customStyle="1" w:styleId="Heading1Char">
    <w:name w:val="Heading 1 Char"/>
    <w:basedOn w:val="DefaultParagraphFont"/>
    <w:link w:val="Heading1"/>
    <w:uiPriority w:val="9"/>
    <w:rsid w:val="00403EE6"/>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647E1F"/>
  </w:style>
  <w:style w:type="paragraph" w:styleId="Footer">
    <w:name w:val="footer"/>
    <w:basedOn w:val="Normal"/>
    <w:link w:val="FooterChar"/>
    <w:uiPriority w:val="99"/>
    <w:unhideWhenUsed/>
    <w:rsid w:val="00680C41"/>
    <w:pPr>
      <w:tabs>
        <w:tab w:val="center" w:pos="4320"/>
        <w:tab w:val="right" w:pos="8640"/>
      </w:tabs>
    </w:pPr>
  </w:style>
  <w:style w:type="character" w:customStyle="1" w:styleId="FooterChar">
    <w:name w:val="Footer Char"/>
    <w:basedOn w:val="DefaultParagraphFont"/>
    <w:link w:val="Footer"/>
    <w:uiPriority w:val="99"/>
    <w:rsid w:val="00680C41"/>
  </w:style>
  <w:style w:type="character" w:styleId="PageNumber">
    <w:name w:val="page number"/>
    <w:basedOn w:val="DefaultParagraphFont"/>
    <w:uiPriority w:val="99"/>
    <w:semiHidden/>
    <w:unhideWhenUsed/>
    <w:rsid w:val="00680C41"/>
  </w:style>
  <w:style w:type="paragraph" w:styleId="Header">
    <w:name w:val="header"/>
    <w:basedOn w:val="Normal"/>
    <w:link w:val="HeaderChar"/>
    <w:uiPriority w:val="99"/>
    <w:unhideWhenUsed/>
    <w:rsid w:val="00680C41"/>
    <w:pPr>
      <w:tabs>
        <w:tab w:val="center" w:pos="4320"/>
        <w:tab w:val="right" w:pos="8640"/>
      </w:tabs>
    </w:pPr>
  </w:style>
  <w:style w:type="character" w:customStyle="1" w:styleId="HeaderChar">
    <w:name w:val="Header Char"/>
    <w:basedOn w:val="DefaultParagraphFont"/>
    <w:link w:val="Header"/>
    <w:uiPriority w:val="99"/>
    <w:rsid w:val="00680C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3EE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5A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5A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4D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A7E"/>
    <w:pPr>
      <w:ind w:left="720"/>
      <w:contextualSpacing/>
    </w:pPr>
  </w:style>
  <w:style w:type="character" w:customStyle="1" w:styleId="Heading2Char">
    <w:name w:val="Heading 2 Char"/>
    <w:basedOn w:val="DefaultParagraphFont"/>
    <w:link w:val="Heading2"/>
    <w:uiPriority w:val="9"/>
    <w:rsid w:val="00EC5A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5A7E"/>
    <w:rPr>
      <w:rFonts w:asciiTheme="majorHAnsi" w:eastAsiaTheme="majorEastAsia" w:hAnsiTheme="majorHAnsi" w:cstheme="majorBidi"/>
      <w:b/>
      <w:bCs/>
      <w:color w:val="4F81BD" w:themeColor="accent1"/>
    </w:rPr>
  </w:style>
  <w:style w:type="table" w:styleId="TableGrid">
    <w:name w:val="Table Grid"/>
    <w:basedOn w:val="TableNormal"/>
    <w:uiPriority w:val="59"/>
    <w:rsid w:val="00994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E94DE9"/>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630E22"/>
    <w:rPr>
      <w:sz w:val="18"/>
      <w:szCs w:val="18"/>
    </w:rPr>
  </w:style>
  <w:style w:type="paragraph" w:styleId="CommentText">
    <w:name w:val="annotation text"/>
    <w:basedOn w:val="Normal"/>
    <w:link w:val="CommentTextChar"/>
    <w:uiPriority w:val="99"/>
    <w:semiHidden/>
    <w:unhideWhenUsed/>
    <w:rsid w:val="00630E22"/>
    <w:rPr>
      <w:sz w:val="24"/>
      <w:szCs w:val="24"/>
    </w:rPr>
  </w:style>
  <w:style w:type="character" w:customStyle="1" w:styleId="CommentTextChar">
    <w:name w:val="Comment Text Char"/>
    <w:basedOn w:val="DefaultParagraphFont"/>
    <w:link w:val="CommentText"/>
    <w:uiPriority w:val="99"/>
    <w:semiHidden/>
    <w:rsid w:val="00630E22"/>
    <w:rPr>
      <w:sz w:val="24"/>
      <w:szCs w:val="24"/>
    </w:rPr>
  </w:style>
  <w:style w:type="paragraph" w:styleId="CommentSubject">
    <w:name w:val="annotation subject"/>
    <w:basedOn w:val="CommentText"/>
    <w:next w:val="CommentText"/>
    <w:link w:val="CommentSubjectChar"/>
    <w:uiPriority w:val="99"/>
    <w:semiHidden/>
    <w:unhideWhenUsed/>
    <w:rsid w:val="00630E22"/>
    <w:rPr>
      <w:b/>
      <w:bCs/>
      <w:sz w:val="20"/>
      <w:szCs w:val="20"/>
    </w:rPr>
  </w:style>
  <w:style w:type="character" w:customStyle="1" w:styleId="CommentSubjectChar">
    <w:name w:val="Comment Subject Char"/>
    <w:basedOn w:val="CommentTextChar"/>
    <w:link w:val="CommentSubject"/>
    <w:uiPriority w:val="99"/>
    <w:semiHidden/>
    <w:rsid w:val="00630E22"/>
    <w:rPr>
      <w:b/>
      <w:bCs/>
      <w:sz w:val="20"/>
      <w:szCs w:val="20"/>
    </w:rPr>
  </w:style>
  <w:style w:type="paragraph" w:styleId="BalloonText">
    <w:name w:val="Balloon Text"/>
    <w:basedOn w:val="Normal"/>
    <w:link w:val="BalloonTextChar"/>
    <w:uiPriority w:val="99"/>
    <w:semiHidden/>
    <w:unhideWhenUsed/>
    <w:rsid w:val="00630E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E22"/>
    <w:rPr>
      <w:rFonts w:ascii="Lucida Grande" w:hAnsi="Lucida Grande" w:cs="Lucida Grande"/>
      <w:sz w:val="18"/>
      <w:szCs w:val="18"/>
    </w:rPr>
  </w:style>
  <w:style w:type="character" w:styleId="Hyperlink">
    <w:name w:val="Hyperlink"/>
    <w:basedOn w:val="DefaultParagraphFont"/>
    <w:uiPriority w:val="99"/>
    <w:unhideWhenUsed/>
    <w:rsid w:val="00632554"/>
    <w:rPr>
      <w:color w:val="0000FF" w:themeColor="hyperlink"/>
      <w:u w:val="single"/>
    </w:rPr>
  </w:style>
  <w:style w:type="character" w:customStyle="1" w:styleId="Heading1Char">
    <w:name w:val="Heading 1 Char"/>
    <w:basedOn w:val="DefaultParagraphFont"/>
    <w:link w:val="Heading1"/>
    <w:uiPriority w:val="9"/>
    <w:rsid w:val="00403EE6"/>
    <w:rPr>
      <w:rFonts w:asciiTheme="majorHAnsi" w:eastAsiaTheme="majorEastAsia" w:hAnsiTheme="majorHAnsi" w:cstheme="majorBidi"/>
      <w:b/>
      <w:bCs/>
      <w:color w:val="345A8A" w:themeColor="accent1" w:themeShade="B5"/>
      <w:sz w:val="32"/>
      <w:szCs w:val="32"/>
    </w:rPr>
  </w:style>
  <w:style w:type="paragraph" w:styleId="Revision">
    <w:name w:val="Revision"/>
    <w:hidden/>
    <w:uiPriority w:val="99"/>
    <w:semiHidden/>
    <w:rsid w:val="00647E1F"/>
  </w:style>
  <w:style w:type="paragraph" w:styleId="Footer">
    <w:name w:val="footer"/>
    <w:basedOn w:val="Normal"/>
    <w:link w:val="FooterChar"/>
    <w:uiPriority w:val="99"/>
    <w:unhideWhenUsed/>
    <w:rsid w:val="00680C41"/>
    <w:pPr>
      <w:tabs>
        <w:tab w:val="center" w:pos="4320"/>
        <w:tab w:val="right" w:pos="8640"/>
      </w:tabs>
    </w:pPr>
  </w:style>
  <w:style w:type="character" w:customStyle="1" w:styleId="FooterChar">
    <w:name w:val="Footer Char"/>
    <w:basedOn w:val="DefaultParagraphFont"/>
    <w:link w:val="Footer"/>
    <w:uiPriority w:val="99"/>
    <w:rsid w:val="00680C41"/>
  </w:style>
  <w:style w:type="character" w:styleId="PageNumber">
    <w:name w:val="page number"/>
    <w:basedOn w:val="DefaultParagraphFont"/>
    <w:uiPriority w:val="99"/>
    <w:semiHidden/>
    <w:unhideWhenUsed/>
    <w:rsid w:val="00680C41"/>
  </w:style>
  <w:style w:type="paragraph" w:styleId="Header">
    <w:name w:val="header"/>
    <w:basedOn w:val="Normal"/>
    <w:link w:val="HeaderChar"/>
    <w:uiPriority w:val="99"/>
    <w:unhideWhenUsed/>
    <w:rsid w:val="00680C41"/>
    <w:pPr>
      <w:tabs>
        <w:tab w:val="center" w:pos="4320"/>
        <w:tab w:val="right" w:pos="8640"/>
      </w:tabs>
    </w:pPr>
  </w:style>
  <w:style w:type="character" w:customStyle="1" w:styleId="HeaderChar">
    <w:name w:val="Header Char"/>
    <w:basedOn w:val="DefaultParagraphFont"/>
    <w:link w:val="Header"/>
    <w:uiPriority w:val="99"/>
    <w:rsid w:val="00680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chigan.gov/documents/sos/Applying_for_lic_or_ID_SOS_428_222146_7.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dps.texas.gov/internetforms/Forms/DL-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0F4C-85AF-C040-9193-D39B7BC8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2622</Words>
  <Characters>14558</Characters>
  <Application>Microsoft Macintosh Word</Application>
  <DocSecurity>0</DocSecurity>
  <Lines>207</Lines>
  <Paragraphs>42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Design objectives </vt:lpstr>
      <vt:lpstr>        Overall Academic Growth (Fordham 2b)</vt:lpstr>
      <vt:lpstr>        Subgroup Performance (Fordham 2f)</vt:lpstr>
      <vt:lpstr>        Progress Toward English Language Proficiency (Fordham 2c)</vt:lpstr>
      <vt:lpstr>        Academic I and II (Fordham 2a)</vt:lpstr>
      <vt:lpstr>        Academic Growth (Fordham 2b)</vt:lpstr>
      <vt:lpstr>        Student Success and Quality (Fordham 2d)</vt:lpstr>
      <vt:lpstr>        All Students Achieve (Fordham 2a,f)</vt:lpstr>
      <vt:lpstr>        Summative schools grades and ratings (Fordham 2e,g)</vt:lpstr>
      <vt:lpstr>Appendix</vt:lpstr>
    </vt:vector>
  </TitlesOfParts>
  <Manager/>
  <Company>America Succeeds</Company>
  <LinksUpToDate>false</LinksUpToDate>
  <CharactersWithSpaces>17138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Lerum</dc:creator>
  <cp:keywords/>
  <dc:description/>
  <cp:lastModifiedBy>Brandon Wright</cp:lastModifiedBy>
  <cp:revision>2</cp:revision>
  <dcterms:created xsi:type="dcterms:W3CDTF">2016-01-26T19:53:00Z</dcterms:created>
  <dcterms:modified xsi:type="dcterms:W3CDTF">2016-01-26T19:53:00Z</dcterms:modified>
  <cp:category/>
</cp:coreProperties>
</file>