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3AA643D" w14:textId="77777777" w:rsidR="00577B53" w:rsidRDefault="00C27D64">
      <w:pPr>
        <w:pStyle w:val="Title"/>
        <w:spacing w:after="200"/>
        <w:contextualSpacing w:val="0"/>
        <w:jc w:val="center"/>
      </w:pPr>
      <w:bookmarkStart w:id="0" w:name="h.2hpfh0vigad1" w:colFirst="0" w:colLast="0"/>
      <w:bookmarkStart w:id="1" w:name="_GoBack"/>
      <w:bookmarkEnd w:id="0"/>
      <w:bookmarkEnd w:id="1"/>
      <w:r>
        <w:rPr>
          <w:b/>
        </w:rPr>
        <w:t>ESSA Accountability Design</w:t>
      </w:r>
    </w:p>
    <w:p w14:paraId="7AD45C43" w14:textId="77777777" w:rsidR="00577B53" w:rsidRDefault="00C27D64">
      <w:pPr>
        <w:pStyle w:val="Subtitle"/>
        <w:spacing w:after="200"/>
        <w:contextualSpacing w:val="0"/>
        <w:jc w:val="center"/>
      </w:pPr>
      <w:bookmarkStart w:id="2" w:name="h.48hao9xrozzy" w:colFirst="0" w:colLast="0"/>
      <w:bookmarkEnd w:id="2"/>
      <w:r>
        <w:rPr>
          <w:i/>
          <w:color w:val="000000"/>
          <w:sz w:val="28"/>
          <w:szCs w:val="28"/>
        </w:rPr>
        <w:t>A Proposal by the Prichard Committee Student Voice Team</w:t>
      </w:r>
    </w:p>
    <w:p w14:paraId="3FE469F4" w14:textId="77777777" w:rsidR="00577B53" w:rsidRDefault="00C27D64">
      <w:pPr>
        <w:pStyle w:val="normal0"/>
        <w:spacing w:before="200" w:after="200"/>
      </w:pPr>
      <w:r>
        <w:t>The objectives of our state accountability system are:</w:t>
      </w:r>
    </w:p>
    <w:p w14:paraId="38C199F8" w14:textId="77777777" w:rsidR="00577B53" w:rsidRDefault="00C27D64">
      <w:pPr>
        <w:pStyle w:val="normal0"/>
        <w:numPr>
          <w:ilvl w:val="0"/>
          <w:numId w:val="3"/>
        </w:numPr>
        <w:spacing w:after="200"/>
        <w:ind w:hanging="360"/>
      </w:pPr>
      <w:r>
        <w:t>to create a holistic view of school quality through both academic and nonacademic indicators of success and</w:t>
      </w:r>
    </w:p>
    <w:p w14:paraId="763CA13F" w14:textId="77777777" w:rsidR="00577B53" w:rsidRDefault="00C27D64">
      <w:pPr>
        <w:pStyle w:val="normal0"/>
        <w:numPr>
          <w:ilvl w:val="0"/>
          <w:numId w:val="3"/>
        </w:numPr>
        <w:spacing w:after="200"/>
        <w:ind w:hanging="360"/>
      </w:pPr>
      <w:r>
        <w:t>to provide students, parents, teachers, administrators, and other stakeholders with the information they need to be effective advocates, understand where potential problems are within their schools, and strive for all students to receive a beneficial educational experience.</w:t>
      </w:r>
    </w:p>
    <w:p w14:paraId="0F02EC25" w14:textId="77777777" w:rsidR="00577B53" w:rsidRDefault="00C27D64">
      <w:pPr>
        <w:pStyle w:val="normal0"/>
        <w:spacing w:after="200"/>
      </w:pPr>
      <w:r>
        <w:t>School accountability measures are most effective when they identify what a school is contributing to students, not what students are contributing to a school.</w:t>
      </w:r>
      <w:r>
        <w:rPr>
          <w:vertAlign w:val="superscript"/>
        </w:rPr>
        <w:t>1</w:t>
      </w:r>
      <w:r>
        <w:t xml:space="preserve"> Our system, by focusing on these objectives, will encourage schools to use their resources in the most effective ways and facilitate improvement by including all invested parties, building on the idea that it takes a village to educate a child.</w:t>
      </w:r>
    </w:p>
    <w:p w14:paraId="7E29FD76" w14:textId="77777777" w:rsidR="00577B53" w:rsidRDefault="00C27D64">
      <w:pPr>
        <w:pStyle w:val="normal0"/>
        <w:spacing w:after="200"/>
      </w:pPr>
      <w:r>
        <w:t>Schools will be evaluated on four indices which will be individually scored, weighted, and combined to indicate a school’s overall rating:</w:t>
      </w:r>
    </w:p>
    <w:p w14:paraId="2BED96A6" w14:textId="77777777" w:rsidR="00577B53" w:rsidRDefault="00C27D64">
      <w:pPr>
        <w:pStyle w:val="normal0"/>
        <w:numPr>
          <w:ilvl w:val="0"/>
          <w:numId w:val="1"/>
        </w:numPr>
        <w:spacing w:after="200"/>
        <w:ind w:hanging="360"/>
      </w:pPr>
      <w:r>
        <w:rPr>
          <w:b/>
        </w:rPr>
        <w:t>Academic Proficiency:</w:t>
      </w:r>
      <w:r>
        <w:t xml:space="preserve"> 31.25%</w:t>
      </w:r>
    </w:p>
    <w:p w14:paraId="54B91EAB" w14:textId="77777777" w:rsidR="00577B53" w:rsidRDefault="00C27D64">
      <w:pPr>
        <w:pStyle w:val="normal0"/>
        <w:numPr>
          <w:ilvl w:val="0"/>
          <w:numId w:val="1"/>
        </w:numPr>
        <w:spacing w:after="200"/>
        <w:ind w:hanging="360"/>
      </w:pPr>
      <w:r>
        <w:rPr>
          <w:b/>
        </w:rPr>
        <w:t>Student Progress Over Time:</w:t>
      </w:r>
      <w:r>
        <w:t xml:space="preserve"> 37.5%* </w:t>
      </w:r>
    </w:p>
    <w:p w14:paraId="5CDA6115" w14:textId="77777777" w:rsidR="00577B53" w:rsidRDefault="00C27D64">
      <w:pPr>
        <w:pStyle w:val="normal0"/>
        <w:numPr>
          <w:ilvl w:val="0"/>
          <w:numId w:val="1"/>
        </w:numPr>
        <w:spacing w:after="200"/>
        <w:ind w:hanging="360"/>
      </w:pPr>
      <w:r>
        <w:rPr>
          <w:b/>
        </w:rPr>
        <w:t>Closing Performance Gaps:</w:t>
      </w:r>
      <w:r>
        <w:t xml:space="preserve"> 25%*</w:t>
      </w:r>
    </w:p>
    <w:p w14:paraId="40CB5019" w14:textId="77777777" w:rsidR="00577B53" w:rsidRDefault="00C27D64">
      <w:pPr>
        <w:pStyle w:val="normal0"/>
        <w:numPr>
          <w:ilvl w:val="0"/>
          <w:numId w:val="1"/>
        </w:numPr>
        <w:spacing w:after="200"/>
        <w:ind w:hanging="360"/>
      </w:pPr>
      <w:r>
        <w:rPr>
          <w:b/>
        </w:rPr>
        <w:t>School Climate:</w:t>
      </w:r>
      <w:r>
        <w:t xml:space="preserve"> 6.25%</w:t>
      </w:r>
    </w:p>
    <w:p w14:paraId="52CCB762" w14:textId="77777777" w:rsidR="00577B53" w:rsidRDefault="00640866">
      <w:pPr>
        <w:pStyle w:val="normal0"/>
        <w:spacing w:after="200"/>
        <w:ind w:left="1440"/>
      </w:pPr>
      <w:r>
        <w:t>*If the school has fewer</w:t>
      </w:r>
      <w:r w:rsidR="00C27D64">
        <w:t xml:space="preserve"> than 20 students in a subgroup, then that subgroup will not be in</w:t>
      </w:r>
      <w:r>
        <w:t xml:space="preserve">cluded in Index </w:t>
      </w:r>
      <w:r w:rsidR="00C27D64">
        <w:t>and 6.25% will be moved to Index 2.</w:t>
      </w:r>
    </w:p>
    <w:p w14:paraId="12A3FE73" w14:textId="77777777" w:rsidR="00577B53" w:rsidRDefault="00577B53">
      <w:pPr>
        <w:pStyle w:val="Heading1"/>
        <w:spacing w:after="200"/>
        <w:contextualSpacing w:val="0"/>
      </w:pPr>
      <w:bookmarkStart w:id="3" w:name="h.4919dirdp6qp" w:colFirst="0" w:colLast="0"/>
      <w:bookmarkEnd w:id="3"/>
    </w:p>
    <w:p w14:paraId="38653F12" w14:textId="77777777" w:rsidR="00577B53" w:rsidRDefault="00C27D64">
      <w:pPr>
        <w:pStyle w:val="normal0"/>
      </w:pPr>
      <w:r>
        <w:br w:type="page"/>
      </w:r>
    </w:p>
    <w:p w14:paraId="1F315F59" w14:textId="77777777" w:rsidR="00577B53" w:rsidRDefault="00577B53">
      <w:pPr>
        <w:pStyle w:val="Heading1"/>
        <w:spacing w:after="200"/>
        <w:contextualSpacing w:val="0"/>
      </w:pPr>
      <w:bookmarkStart w:id="4" w:name="h.dt594tfa0lf7" w:colFirst="0" w:colLast="0"/>
      <w:bookmarkEnd w:id="4"/>
    </w:p>
    <w:p w14:paraId="44238996" w14:textId="77777777" w:rsidR="00577B53" w:rsidRDefault="00C27D64">
      <w:pPr>
        <w:pStyle w:val="Heading1"/>
        <w:spacing w:after="200"/>
        <w:contextualSpacing w:val="0"/>
      </w:pPr>
      <w:bookmarkStart w:id="5" w:name="h.1a0uj4voysdj" w:colFirst="0" w:colLast="0"/>
      <w:bookmarkEnd w:id="5"/>
      <w:r>
        <w:rPr>
          <w:b/>
        </w:rPr>
        <w:t>Index 1: Academic Proficiency</w:t>
      </w:r>
    </w:p>
    <w:p w14:paraId="2262186F" w14:textId="77777777" w:rsidR="00577B53" w:rsidRDefault="00C27D64">
      <w:pPr>
        <w:pStyle w:val="normal0"/>
        <w:spacing w:after="200"/>
      </w:pPr>
      <w:r>
        <w:t>Annual statewide testing would measure and test student competence for both English Language Arts and Math, with equally weighted scores, beginning in the third grade and continuing through fifth. The National Research Council has concluded that students who are not moderately-skilled readers or adequately exposed to mathematiques by the end of the third grade are unlikely to graduate from high school; results that reflect these trends prove powerful resources for states to advocate for more coordinated, effective learning systems.</w:t>
      </w:r>
      <w:r>
        <w:rPr>
          <w:vertAlign w:val="superscript"/>
        </w:rPr>
        <w:t>2</w:t>
      </w:r>
      <w:r>
        <w:t xml:space="preserve"> The critical analysis, reading to learn, text interpretation, language, and writing skills emphasized through the English language arts tests will create strong skills for future subjects.</w:t>
      </w:r>
      <w:r>
        <w:rPr>
          <w:vertAlign w:val="superscript"/>
        </w:rPr>
        <w:t>3</w:t>
      </w:r>
      <w:r>
        <w:t xml:space="preserve"> Similarly, emphasizing a strong foundation in math will prepare students for upper level math and science classes. </w:t>
      </w:r>
    </w:p>
    <w:p w14:paraId="2850251B" w14:textId="77777777" w:rsidR="00577B53" w:rsidRDefault="00577B53">
      <w:pPr>
        <w:pStyle w:val="normal0"/>
        <w:spacing w:after="200"/>
      </w:pPr>
    </w:p>
    <w:p w14:paraId="25AC3AED" w14:textId="77777777" w:rsidR="00577B53" w:rsidRDefault="00577B53">
      <w:pPr>
        <w:pStyle w:val="Heading1"/>
        <w:spacing w:after="200"/>
        <w:contextualSpacing w:val="0"/>
      </w:pPr>
      <w:bookmarkStart w:id="6" w:name="h.jt65297mwcku" w:colFirst="0" w:colLast="0"/>
      <w:bookmarkEnd w:id="6"/>
    </w:p>
    <w:p w14:paraId="5B5D5FD3" w14:textId="77777777" w:rsidR="00577B53" w:rsidRDefault="00C27D64">
      <w:pPr>
        <w:pStyle w:val="normal0"/>
      </w:pPr>
      <w:r>
        <w:br w:type="page"/>
      </w:r>
    </w:p>
    <w:p w14:paraId="283217AB" w14:textId="77777777" w:rsidR="00577B53" w:rsidRDefault="00577B53">
      <w:pPr>
        <w:pStyle w:val="Heading1"/>
        <w:spacing w:after="200"/>
        <w:contextualSpacing w:val="0"/>
      </w:pPr>
      <w:bookmarkStart w:id="7" w:name="h.nvw8nilukv2d" w:colFirst="0" w:colLast="0"/>
      <w:bookmarkEnd w:id="7"/>
    </w:p>
    <w:p w14:paraId="24C2B1D2" w14:textId="77777777" w:rsidR="00577B53" w:rsidRDefault="00C27D64">
      <w:pPr>
        <w:pStyle w:val="Heading1"/>
        <w:spacing w:after="200"/>
        <w:contextualSpacing w:val="0"/>
      </w:pPr>
      <w:bookmarkStart w:id="8" w:name="h.p8xtij7zlsyg" w:colFirst="0" w:colLast="0"/>
      <w:bookmarkEnd w:id="8"/>
      <w:r>
        <w:rPr>
          <w:b/>
        </w:rPr>
        <w:t>Index 2: Student Progress Over Time</w:t>
      </w:r>
    </w:p>
    <w:p w14:paraId="5C2C8FB1" w14:textId="77777777" w:rsidR="00577B53" w:rsidRDefault="00C27D64">
      <w:pPr>
        <w:pStyle w:val="normal0"/>
        <w:spacing w:after="200"/>
      </w:pPr>
      <w:r>
        <w:t>Student Progress Over Time will be assessed using the Colorado Growth Model.</w:t>
      </w:r>
      <w:r>
        <w:rPr>
          <w:vertAlign w:val="superscript"/>
        </w:rPr>
        <w:t>4</w:t>
      </w:r>
      <w:r>
        <w:t xml:space="preserve"> Schools will be compared graphically by their Median Student Growth Percentiles (SGP) and the Percentage of Proficient/Distinguished Students in a school. The graphs will provide students, teachers, parents, administrators, and other stakeholders with information on the impact an individual school has on its students when compared to other schools within the state. As a result, the public will be able to easily distinguish schools that are truly serving their students from schools that are only benefiting from well-prepared students, providing stakeholders with information on which schools are the best models. Inversely, using the Colorado Growth Model facilitates the general public’s conceptualization of how a low-performing school might be serving its students just as well as a high performing school, while also revealing the low-performing schools that need the most assistance. </w:t>
      </w:r>
    </w:p>
    <w:p w14:paraId="3491614D" w14:textId="77777777" w:rsidR="00577B53" w:rsidRDefault="00C27D64">
      <w:pPr>
        <w:pStyle w:val="normal0"/>
        <w:jc w:val="center"/>
      </w:pPr>
      <w:r>
        <w:rPr>
          <w:noProof/>
        </w:rPr>
        <w:drawing>
          <wp:inline distT="114300" distB="114300" distL="114300" distR="114300" wp14:anchorId="09486BC0" wp14:editId="3A5A66EA">
            <wp:extent cx="4519613" cy="267652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4519613" cy="2676525"/>
                    </a:xfrm>
                    <a:prstGeom prst="rect">
                      <a:avLst/>
                    </a:prstGeom>
                    <a:ln/>
                  </pic:spPr>
                </pic:pic>
              </a:graphicData>
            </a:graphic>
          </wp:inline>
        </w:drawing>
      </w:r>
    </w:p>
    <w:p w14:paraId="484EA54F" w14:textId="77777777" w:rsidR="00577B53" w:rsidRDefault="00C27D64">
      <w:pPr>
        <w:pStyle w:val="normal0"/>
        <w:spacing w:after="200"/>
        <w:jc w:val="center"/>
      </w:pPr>
      <w:r>
        <w:rPr>
          <w:sz w:val="16"/>
          <w:szCs w:val="16"/>
        </w:rPr>
        <w:t>Source: Screenshot from Colorado Department of Education’s SchoolView System.</w:t>
      </w:r>
      <w:r>
        <w:rPr>
          <w:sz w:val="16"/>
          <w:szCs w:val="16"/>
          <w:vertAlign w:val="superscript"/>
        </w:rPr>
        <w:t>5</w:t>
      </w:r>
    </w:p>
    <w:p w14:paraId="0C28957A" w14:textId="77777777" w:rsidR="00577B53" w:rsidRDefault="00577B53">
      <w:pPr>
        <w:pStyle w:val="normal0"/>
      </w:pPr>
    </w:p>
    <w:p w14:paraId="0BFB31A1" w14:textId="77777777" w:rsidR="00577B53" w:rsidRDefault="00577B53">
      <w:pPr>
        <w:pStyle w:val="normal0"/>
      </w:pPr>
    </w:p>
    <w:p w14:paraId="3EABABD4" w14:textId="77777777" w:rsidR="00577B53" w:rsidRDefault="00577B53">
      <w:pPr>
        <w:pStyle w:val="normal0"/>
        <w:spacing w:after="200"/>
        <w:jc w:val="center"/>
      </w:pPr>
    </w:p>
    <w:p w14:paraId="5AEBC2A6" w14:textId="77777777" w:rsidR="00577B53" w:rsidRDefault="00577B53">
      <w:pPr>
        <w:pStyle w:val="normal0"/>
        <w:spacing w:after="200"/>
        <w:jc w:val="center"/>
      </w:pPr>
    </w:p>
    <w:p w14:paraId="219743F5" w14:textId="77777777" w:rsidR="00577B53" w:rsidRDefault="00577B53">
      <w:pPr>
        <w:pStyle w:val="normal0"/>
        <w:spacing w:after="200"/>
        <w:jc w:val="center"/>
      </w:pPr>
    </w:p>
    <w:p w14:paraId="4316C5D3" w14:textId="77777777" w:rsidR="00577B53" w:rsidRDefault="00577B53">
      <w:pPr>
        <w:pStyle w:val="normal0"/>
        <w:spacing w:after="200"/>
        <w:jc w:val="center"/>
      </w:pPr>
    </w:p>
    <w:p w14:paraId="5BB015DA" w14:textId="77777777" w:rsidR="00577B53" w:rsidRDefault="00577B53">
      <w:pPr>
        <w:pStyle w:val="normal0"/>
        <w:spacing w:after="200"/>
        <w:jc w:val="center"/>
      </w:pPr>
    </w:p>
    <w:p w14:paraId="0D43431C" w14:textId="77777777" w:rsidR="00577B53" w:rsidRDefault="00577B53">
      <w:pPr>
        <w:pStyle w:val="normal0"/>
        <w:spacing w:after="200"/>
        <w:jc w:val="center"/>
      </w:pPr>
    </w:p>
    <w:p w14:paraId="687246C3" w14:textId="77777777" w:rsidR="00577B53" w:rsidRDefault="00577B53">
      <w:pPr>
        <w:pStyle w:val="normal0"/>
        <w:spacing w:after="200"/>
        <w:jc w:val="center"/>
      </w:pPr>
    </w:p>
    <w:p w14:paraId="03118C86" w14:textId="77777777" w:rsidR="00577B53" w:rsidRDefault="00577B53">
      <w:pPr>
        <w:pStyle w:val="normal0"/>
        <w:spacing w:after="200"/>
        <w:jc w:val="center"/>
      </w:pPr>
    </w:p>
    <w:p w14:paraId="53489073" w14:textId="77777777" w:rsidR="00577B53" w:rsidRDefault="00C27D64">
      <w:pPr>
        <w:pStyle w:val="Heading1"/>
        <w:spacing w:after="200"/>
        <w:contextualSpacing w:val="0"/>
      </w:pPr>
      <w:bookmarkStart w:id="9" w:name="h.ltcilu1bgypf" w:colFirst="0" w:colLast="0"/>
      <w:bookmarkEnd w:id="9"/>
      <w:r>
        <w:rPr>
          <w:b/>
        </w:rPr>
        <w:t>Index 3: Closing Performance Gaps</w:t>
      </w:r>
    </w:p>
    <w:p w14:paraId="21DA6638" w14:textId="77777777" w:rsidR="00577B53" w:rsidRDefault="00C27D64">
      <w:pPr>
        <w:pStyle w:val="normal0"/>
        <w:spacing w:after="200"/>
      </w:pPr>
      <w:r>
        <w:t>Students defined as being heavily affected by an “achievement gap” or certain subgroups that regularly perform below or near average should always be an indicator of academic achievement when holding school systems accountable, as the school system should aim to enrich the lives and educational experiences of all who are enrolled. Students will be broken up into four traditional achievement gap subgroups for comparison, unless a student group does not meet the minimum size of 20 students. The four subgroups will be as follows:</w:t>
      </w:r>
    </w:p>
    <w:p w14:paraId="5290460A" w14:textId="77777777" w:rsidR="00577B53" w:rsidRDefault="00C27D64">
      <w:pPr>
        <w:pStyle w:val="normal0"/>
        <w:numPr>
          <w:ilvl w:val="0"/>
          <w:numId w:val="5"/>
        </w:numPr>
        <w:ind w:left="720" w:hanging="360"/>
        <w:contextualSpacing/>
      </w:pPr>
      <w:r>
        <w:t>Black/Hispanic/Native American students</w:t>
      </w:r>
    </w:p>
    <w:p w14:paraId="03DBC35B" w14:textId="77777777" w:rsidR="00577B53" w:rsidRDefault="00C27D64">
      <w:pPr>
        <w:pStyle w:val="normal0"/>
        <w:numPr>
          <w:ilvl w:val="0"/>
          <w:numId w:val="5"/>
        </w:numPr>
        <w:ind w:left="720" w:hanging="360"/>
        <w:contextualSpacing/>
      </w:pPr>
      <w:r>
        <w:t xml:space="preserve">Economically disadvantaged  </w:t>
      </w:r>
    </w:p>
    <w:p w14:paraId="20E225BE" w14:textId="77777777" w:rsidR="00577B53" w:rsidRDefault="00C27D64">
      <w:pPr>
        <w:pStyle w:val="normal0"/>
        <w:numPr>
          <w:ilvl w:val="0"/>
          <w:numId w:val="5"/>
        </w:numPr>
        <w:ind w:left="720" w:hanging="360"/>
        <w:contextualSpacing/>
      </w:pPr>
      <w:r>
        <w:t xml:space="preserve">Former/current English language learners </w:t>
      </w:r>
    </w:p>
    <w:p w14:paraId="1ECEBFE5" w14:textId="77777777" w:rsidR="00577B53" w:rsidRDefault="00C27D64">
      <w:pPr>
        <w:pStyle w:val="normal0"/>
        <w:numPr>
          <w:ilvl w:val="0"/>
          <w:numId w:val="5"/>
        </w:numPr>
        <w:spacing w:after="200"/>
        <w:ind w:left="720" w:hanging="360"/>
        <w:contextualSpacing/>
      </w:pPr>
      <w:r>
        <w:t xml:space="preserve">Students with disabilities </w:t>
      </w:r>
    </w:p>
    <w:p w14:paraId="7CA46DCF" w14:textId="77777777" w:rsidR="00577B53" w:rsidRDefault="00C27D64">
      <w:pPr>
        <w:pStyle w:val="normal0"/>
        <w:spacing w:after="200"/>
      </w:pPr>
      <w:r>
        <w:rPr>
          <w:i/>
        </w:rPr>
        <w:t>Based on Tennessee and Massachusetts District Accountability Systems.</w:t>
      </w:r>
      <w:r>
        <w:rPr>
          <w:i/>
          <w:vertAlign w:val="superscript"/>
        </w:rPr>
        <w:t>6, 7</w:t>
      </w:r>
    </w:p>
    <w:p w14:paraId="4B159230" w14:textId="77777777" w:rsidR="00577B53" w:rsidRDefault="00C27D64">
      <w:pPr>
        <w:pStyle w:val="Heading2"/>
        <w:spacing w:after="200"/>
        <w:contextualSpacing w:val="0"/>
      </w:pPr>
      <w:bookmarkStart w:id="10" w:name="h.y3ty81a7pxbp" w:colFirst="0" w:colLast="0"/>
      <w:bookmarkEnd w:id="10"/>
      <w:r>
        <w:rPr>
          <w:b/>
          <w:u w:val="single"/>
        </w:rPr>
        <w:t>English Language Proficiency</w:t>
      </w:r>
    </w:p>
    <w:p w14:paraId="15961C2C" w14:textId="77777777" w:rsidR="00577B53" w:rsidRDefault="00C27D64">
      <w:pPr>
        <w:pStyle w:val="normal0"/>
        <w:spacing w:after="200"/>
      </w:pPr>
      <w:r>
        <w:t xml:space="preserve">To ensure that the needs of all English Language Learners are being met within their educational institutions, students who are deemed Limited English Proficient (LEP) will be tested to determine their level of English language proficiency. LEP is defined as “any student who does not speak English or whose native language is not English, and is unable to perform ordinary tasks in English.” Students who are multilingual, but fluent in English, will not be classified as LEP. Preliminary indicators of LEP will come from a home survey to determine the student's’ native language and whether they are English Proficient. Additional input on a student's’ progress can be taken from their respective teachers. </w:t>
      </w:r>
    </w:p>
    <w:p w14:paraId="3AC38A91" w14:textId="77777777" w:rsidR="00577B53" w:rsidRDefault="00C27D64">
      <w:pPr>
        <w:pStyle w:val="normal0"/>
        <w:spacing w:after="200"/>
      </w:pPr>
      <w:r>
        <w:t xml:space="preserve">Once deemed LEP, students will be tested on their listening, reading, and writing abilities. While tests will vary according to grade level (e.g. Writing words in kindergarten versus writing a short composition in the fifth grade), every student will be tested on English language arts each year until deemed English Proficient. </w:t>
      </w:r>
    </w:p>
    <w:p w14:paraId="7AA7BA8F" w14:textId="77777777" w:rsidR="00577B53" w:rsidRDefault="0038266E">
      <w:pPr>
        <w:pStyle w:val="normal0"/>
        <w:spacing w:after="200"/>
      </w:pPr>
      <w:r>
        <w:t xml:space="preserve">Once a student achieves a benchmark score, determined by individual schools, teachers will evaluate students and a parent conference will be held to determine whether the student can be classified as English Proficient. </w:t>
      </w:r>
    </w:p>
    <w:p w14:paraId="0FACF0A5" w14:textId="77777777" w:rsidR="00577B53" w:rsidRDefault="00C27D64">
      <w:pPr>
        <w:pStyle w:val="normal0"/>
        <w:spacing w:after="200"/>
      </w:pPr>
      <w:r>
        <w:t>Before a student is classified as English Proficient, they will receive the following accommodations on state assessments:</w:t>
      </w:r>
    </w:p>
    <w:p w14:paraId="7898A49B" w14:textId="77777777" w:rsidR="00577B53" w:rsidRDefault="00C27D64">
      <w:pPr>
        <w:pStyle w:val="normal0"/>
        <w:numPr>
          <w:ilvl w:val="0"/>
          <w:numId w:val="4"/>
        </w:numPr>
        <w:spacing w:after="200"/>
        <w:ind w:left="720" w:hanging="360"/>
      </w:pPr>
      <w:r>
        <w:t>First year of enrollment in U.S. schools:</w:t>
      </w:r>
    </w:p>
    <w:p w14:paraId="12EFD721" w14:textId="77777777" w:rsidR="00577B53" w:rsidRDefault="00C27D64">
      <w:pPr>
        <w:pStyle w:val="normal0"/>
        <w:numPr>
          <w:ilvl w:val="1"/>
          <w:numId w:val="4"/>
        </w:numPr>
        <w:spacing w:after="200"/>
        <w:ind w:left="1440" w:hanging="360"/>
      </w:pPr>
      <w:r>
        <w:lastRenderedPageBreak/>
        <w:t>Students are tested in all areas</w:t>
      </w:r>
    </w:p>
    <w:p w14:paraId="161CDA8B" w14:textId="77777777" w:rsidR="00577B53" w:rsidRDefault="00C27D64">
      <w:pPr>
        <w:pStyle w:val="normal0"/>
        <w:numPr>
          <w:ilvl w:val="1"/>
          <w:numId w:val="4"/>
        </w:numPr>
        <w:spacing w:after="200"/>
        <w:ind w:left="1440" w:hanging="360"/>
      </w:pPr>
      <w:r>
        <w:t>Students’ scores are not calculated into their school’s scores, but the aggregate scores must be reported by the school</w:t>
      </w:r>
    </w:p>
    <w:p w14:paraId="6BF8B9E5" w14:textId="77777777" w:rsidR="00577B53" w:rsidRDefault="00C27D64">
      <w:pPr>
        <w:pStyle w:val="normal0"/>
        <w:numPr>
          <w:ilvl w:val="0"/>
          <w:numId w:val="4"/>
        </w:numPr>
        <w:spacing w:after="200"/>
        <w:ind w:left="720" w:hanging="360"/>
      </w:pPr>
      <w:r>
        <w:t>Second year of enrollment in U.S. schools:</w:t>
      </w:r>
    </w:p>
    <w:p w14:paraId="40007742" w14:textId="77777777" w:rsidR="00577B53" w:rsidRDefault="00C27D64">
      <w:pPr>
        <w:pStyle w:val="normal0"/>
        <w:numPr>
          <w:ilvl w:val="1"/>
          <w:numId w:val="4"/>
        </w:numPr>
        <w:spacing w:after="200"/>
        <w:ind w:left="1440" w:hanging="360"/>
      </w:pPr>
      <w:r>
        <w:t>Students’ scores will only be measured as part of Subindex 3B</w:t>
      </w:r>
    </w:p>
    <w:p w14:paraId="6CEBFC8F" w14:textId="77777777" w:rsidR="00577B53" w:rsidRDefault="00C27D64">
      <w:pPr>
        <w:pStyle w:val="normal0"/>
        <w:numPr>
          <w:ilvl w:val="0"/>
          <w:numId w:val="4"/>
        </w:numPr>
        <w:spacing w:after="200"/>
        <w:ind w:left="720" w:hanging="360"/>
      </w:pPr>
      <w:r>
        <w:t>Third year of enrollment in U.S. schools:</w:t>
      </w:r>
    </w:p>
    <w:p w14:paraId="3444F522" w14:textId="77777777" w:rsidR="00577B53" w:rsidRDefault="00C27D64">
      <w:pPr>
        <w:pStyle w:val="normal0"/>
        <w:numPr>
          <w:ilvl w:val="1"/>
          <w:numId w:val="4"/>
        </w:numPr>
        <w:spacing w:after="200"/>
        <w:ind w:left="1440" w:hanging="360"/>
      </w:pPr>
      <w:r>
        <w:t>Students scores are calculated normally</w:t>
      </w:r>
    </w:p>
    <w:p w14:paraId="547CE481" w14:textId="77777777" w:rsidR="00577B53" w:rsidRDefault="00577B53">
      <w:pPr>
        <w:pStyle w:val="normal0"/>
        <w:spacing w:after="200"/>
        <w:ind w:left="720"/>
      </w:pPr>
    </w:p>
    <w:p w14:paraId="565709D2" w14:textId="77777777" w:rsidR="00577B53" w:rsidRDefault="00577B53">
      <w:pPr>
        <w:pStyle w:val="normal0"/>
        <w:spacing w:after="200"/>
      </w:pPr>
    </w:p>
    <w:p w14:paraId="642098C6" w14:textId="77777777" w:rsidR="00577B53" w:rsidRDefault="00C27D64">
      <w:pPr>
        <w:pStyle w:val="normal0"/>
      </w:pPr>
      <w:r>
        <w:br w:type="page"/>
      </w:r>
    </w:p>
    <w:p w14:paraId="5191DBD0" w14:textId="77777777" w:rsidR="00577B53" w:rsidRDefault="00577B53">
      <w:pPr>
        <w:pStyle w:val="Heading1"/>
        <w:spacing w:after="200"/>
        <w:contextualSpacing w:val="0"/>
      </w:pPr>
      <w:bookmarkStart w:id="11" w:name="h.xtwhd08m1rd4" w:colFirst="0" w:colLast="0"/>
      <w:bookmarkEnd w:id="11"/>
    </w:p>
    <w:p w14:paraId="63AAAC60" w14:textId="77777777" w:rsidR="00577B53" w:rsidRDefault="00C27D64">
      <w:pPr>
        <w:pStyle w:val="Heading1"/>
        <w:spacing w:after="200"/>
        <w:contextualSpacing w:val="0"/>
      </w:pPr>
      <w:bookmarkStart w:id="12" w:name="h.vctv8rcy0f58" w:colFirst="0" w:colLast="0"/>
      <w:bookmarkEnd w:id="12"/>
      <w:r>
        <w:rPr>
          <w:b/>
        </w:rPr>
        <w:t>Index 4: School Climate</w:t>
      </w:r>
    </w:p>
    <w:p w14:paraId="25A3DBB5" w14:textId="77777777" w:rsidR="00577B53" w:rsidRDefault="00C27D64">
      <w:pPr>
        <w:pStyle w:val="normal0"/>
        <w:spacing w:after="200"/>
      </w:pPr>
      <w:r>
        <w:t xml:space="preserve">It is appropriate that student ideas are at the forefront of identifying issues concerning the school climate, as students are the chief stakeholders in schools. Students would take </w:t>
      </w:r>
      <w:r w:rsidR="0038266E">
        <w:t>surveys that</w:t>
      </w:r>
      <w:r>
        <w:t xml:space="preserve"> would include questions about teacher and student engagement, constructive student voice, communication among students, communication between students and teachers/administrators, cohesiveness of the student body, effective use of resources, encouragement of creativity, and student support. </w:t>
      </w:r>
      <w:r w:rsidR="0038266E">
        <w:t>Fairman and Clark found these factors be present in positive school climates.</w:t>
      </w:r>
      <w:r w:rsidR="0038266E">
        <w:rPr>
          <w:vertAlign w:val="superscript"/>
        </w:rPr>
        <w:t>8</w:t>
      </w:r>
    </w:p>
    <w:p w14:paraId="1A3079C2" w14:textId="77777777" w:rsidR="00577B53" w:rsidRDefault="00C27D64">
      <w:pPr>
        <w:pStyle w:val="normal0"/>
        <w:spacing w:after="200"/>
      </w:pPr>
      <w:r>
        <w:t xml:space="preserve">The survey will be created by the state and evaluated by the state. </w:t>
      </w:r>
      <w:r w:rsidR="0038266E">
        <w:t>The student on a one to five scale will evaluate each of the factors</w:t>
      </w:r>
      <w:r>
        <w:t>. The responses will be averaged for each survey and then each survey will be averaged overall to find the school’s overall school climate score. The responses to each question will also be averaged across all surveys and released so the school and public will know how the school does on specific parts of school climate.</w:t>
      </w:r>
    </w:p>
    <w:p w14:paraId="50BBDA7F" w14:textId="77777777" w:rsidR="00577B53" w:rsidRDefault="00C27D64">
      <w:pPr>
        <w:pStyle w:val="normal0"/>
        <w:spacing w:after="200"/>
      </w:pPr>
      <w:r>
        <w:t>Students will also be asked a short answer, open-response question about any issues or concerns the student has about the school. These responses will not be included in the school’s score. The state will report to the school all of the responses, but will only release to the public responses which appeared in 5% or more of the surveys. These responses would only have to be about the same overall issue and not identical, and all identifying information will be removed. This will help schools address problems that they may not be aware of and are not directly addressed by the ranked questions.</w:t>
      </w:r>
    </w:p>
    <w:p w14:paraId="51BA1DDE" w14:textId="77777777" w:rsidR="00577B53" w:rsidRDefault="00C27D64">
      <w:pPr>
        <w:pStyle w:val="normal0"/>
        <w:spacing w:after="200"/>
      </w:pPr>
      <w:r>
        <w:t>The intent of these surveys is to create a knowledge base of what can be done to improve each school on a specific, student-based level. Positive change in schools is more effectively brought about through changes in climate than changes in structure.</w:t>
      </w:r>
      <w:r>
        <w:rPr>
          <w:vertAlign w:val="superscript"/>
        </w:rPr>
        <w:t>9</w:t>
      </w:r>
      <w:r>
        <w:t xml:space="preserve"> This measurement of school climate effectively identifies problems within schools, as is one of our objectives, and therefore gives administrators the information they need to design beneficial changes that will enhance the educational experience of students.</w:t>
      </w:r>
    </w:p>
    <w:p w14:paraId="6C189E6B" w14:textId="77777777" w:rsidR="00577B53" w:rsidRDefault="00577B53">
      <w:pPr>
        <w:pStyle w:val="Heading1"/>
        <w:spacing w:after="200"/>
        <w:contextualSpacing w:val="0"/>
      </w:pPr>
      <w:bookmarkStart w:id="13" w:name="h.s8g6e12ogeh0" w:colFirst="0" w:colLast="0"/>
      <w:bookmarkEnd w:id="13"/>
    </w:p>
    <w:p w14:paraId="078267BC" w14:textId="77777777" w:rsidR="00577B53" w:rsidRDefault="00C27D64">
      <w:pPr>
        <w:pStyle w:val="normal0"/>
      </w:pPr>
      <w:r>
        <w:br w:type="page"/>
      </w:r>
    </w:p>
    <w:p w14:paraId="30D24A53" w14:textId="77777777" w:rsidR="00577B53" w:rsidRDefault="00577B53">
      <w:pPr>
        <w:pStyle w:val="Heading1"/>
        <w:spacing w:after="200"/>
        <w:contextualSpacing w:val="0"/>
      </w:pPr>
      <w:bookmarkStart w:id="14" w:name="h.zgrdmmgqyp5z" w:colFirst="0" w:colLast="0"/>
      <w:bookmarkEnd w:id="14"/>
    </w:p>
    <w:p w14:paraId="0E7A2061" w14:textId="77777777" w:rsidR="00577B53" w:rsidRDefault="00C27D64">
      <w:pPr>
        <w:pStyle w:val="Heading1"/>
        <w:spacing w:after="200"/>
        <w:contextualSpacing w:val="0"/>
      </w:pPr>
      <w:bookmarkStart w:id="15" w:name="h.m59masrauff7" w:colFirst="0" w:colLast="0"/>
      <w:bookmarkEnd w:id="15"/>
      <w:r>
        <w:rPr>
          <w:b/>
        </w:rPr>
        <w:t>School Rating System</w:t>
      </w:r>
    </w:p>
    <w:tbl>
      <w:tblPr>
        <w:tblStyle w:val="a"/>
        <w:tblW w:w="9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5"/>
        <w:gridCol w:w="1740"/>
        <w:gridCol w:w="2040"/>
        <w:gridCol w:w="975"/>
        <w:gridCol w:w="1320"/>
      </w:tblGrid>
      <w:tr w:rsidR="00577B53" w14:paraId="1D7DFC84" w14:textId="77777777">
        <w:tc>
          <w:tcPr>
            <w:tcW w:w="3225" w:type="dxa"/>
            <w:tcMar>
              <w:top w:w="100" w:type="dxa"/>
              <w:left w:w="100" w:type="dxa"/>
              <w:bottom w:w="100" w:type="dxa"/>
              <w:right w:w="100" w:type="dxa"/>
            </w:tcMar>
            <w:vAlign w:val="center"/>
          </w:tcPr>
          <w:p w14:paraId="7E38F4FD" w14:textId="77777777" w:rsidR="00577B53" w:rsidRDefault="00C27D64">
            <w:pPr>
              <w:pStyle w:val="normal0"/>
              <w:widowControl w:val="0"/>
              <w:spacing w:line="240" w:lineRule="auto"/>
            </w:pPr>
            <w:r>
              <w:rPr>
                <w:b/>
              </w:rPr>
              <w:t>Index</w:t>
            </w:r>
          </w:p>
        </w:tc>
        <w:tc>
          <w:tcPr>
            <w:tcW w:w="1740" w:type="dxa"/>
            <w:tcMar>
              <w:top w:w="100" w:type="dxa"/>
              <w:left w:w="100" w:type="dxa"/>
              <w:bottom w:w="100" w:type="dxa"/>
              <w:right w:w="100" w:type="dxa"/>
            </w:tcMar>
            <w:vAlign w:val="center"/>
          </w:tcPr>
          <w:p w14:paraId="6A1B8040" w14:textId="77777777" w:rsidR="00577B53" w:rsidRDefault="00C27D64">
            <w:pPr>
              <w:pStyle w:val="normal0"/>
              <w:widowControl w:val="0"/>
              <w:spacing w:line="240" w:lineRule="auto"/>
              <w:jc w:val="center"/>
            </w:pPr>
            <w:r>
              <w:rPr>
                <w:b/>
              </w:rPr>
              <w:t>Raw Score</w:t>
            </w:r>
          </w:p>
        </w:tc>
        <w:tc>
          <w:tcPr>
            <w:tcW w:w="2040" w:type="dxa"/>
            <w:tcMar>
              <w:top w:w="100" w:type="dxa"/>
              <w:left w:w="100" w:type="dxa"/>
              <w:bottom w:w="100" w:type="dxa"/>
              <w:right w:w="100" w:type="dxa"/>
            </w:tcMar>
            <w:vAlign w:val="center"/>
          </w:tcPr>
          <w:p w14:paraId="3C13F848" w14:textId="77777777" w:rsidR="00577B53" w:rsidRDefault="00577B53">
            <w:pPr>
              <w:pStyle w:val="normal0"/>
              <w:widowControl w:val="0"/>
              <w:spacing w:line="240" w:lineRule="auto"/>
              <w:jc w:val="center"/>
            </w:pPr>
          </w:p>
        </w:tc>
        <w:tc>
          <w:tcPr>
            <w:tcW w:w="975" w:type="dxa"/>
            <w:tcMar>
              <w:top w:w="100" w:type="dxa"/>
              <w:left w:w="100" w:type="dxa"/>
              <w:bottom w:w="100" w:type="dxa"/>
              <w:right w:w="100" w:type="dxa"/>
            </w:tcMar>
            <w:vAlign w:val="center"/>
          </w:tcPr>
          <w:p w14:paraId="6528C49C" w14:textId="77777777" w:rsidR="00577B53" w:rsidRDefault="00C27D64">
            <w:pPr>
              <w:pStyle w:val="normal0"/>
              <w:widowControl w:val="0"/>
              <w:spacing w:line="240" w:lineRule="auto"/>
              <w:jc w:val="center"/>
            </w:pPr>
            <w:r>
              <w:rPr>
                <w:b/>
              </w:rPr>
              <w:t>Points Earned</w:t>
            </w:r>
          </w:p>
        </w:tc>
        <w:tc>
          <w:tcPr>
            <w:tcW w:w="1320" w:type="dxa"/>
            <w:tcMar>
              <w:top w:w="100" w:type="dxa"/>
              <w:left w:w="100" w:type="dxa"/>
              <w:bottom w:w="100" w:type="dxa"/>
              <w:right w:w="100" w:type="dxa"/>
            </w:tcMar>
            <w:vAlign w:val="center"/>
          </w:tcPr>
          <w:p w14:paraId="680B886F" w14:textId="77777777" w:rsidR="00577B53" w:rsidRDefault="00C27D64">
            <w:pPr>
              <w:pStyle w:val="normal0"/>
              <w:widowControl w:val="0"/>
              <w:spacing w:line="240" w:lineRule="auto"/>
              <w:jc w:val="center"/>
            </w:pPr>
            <w:r>
              <w:rPr>
                <w:b/>
              </w:rPr>
              <w:t>Points Possible</w:t>
            </w:r>
          </w:p>
        </w:tc>
      </w:tr>
      <w:tr w:rsidR="00577B53" w14:paraId="07F3AC50" w14:textId="77777777">
        <w:tc>
          <w:tcPr>
            <w:tcW w:w="3225" w:type="dxa"/>
            <w:tcMar>
              <w:top w:w="100" w:type="dxa"/>
              <w:left w:w="100" w:type="dxa"/>
              <w:bottom w:w="100" w:type="dxa"/>
              <w:right w:w="100" w:type="dxa"/>
            </w:tcMar>
            <w:vAlign w:val="center"/>
          </w:tcPr>
          <w:p w14:paraId="054D26E7" w14:textId="77777777" w:rsidR="00577B53" w:rsidRDefault="00C27D64">
            <w:pPr>
              <w:pStyle w:val="normal0"/>
              <w:widowControl w:val="0"/>
              <w:spacing w:line="240" w:lineRule="auto"/>
            </w:pPr>
            <w:r>
              <w:rPr>
                <w:b/>
              </w:rPr>
              <w:t>Academic Proficiency</w:t>
            </w:r>
          </w:p>
        </w:tc>
        <w:tc>
          <w:tcPr>
            <w:tcW w:w="1740" w:type="dxa"/>
            <w:tcMar>
              <w:top w:w="100" w:type="dxa"/>
              <w:left w:w="100" w:type="dxa"/>
              <w:bottom w:w="100" w:type="dxa"/>
              <w:right w:w="100" w:type="dxa"/>
            </w:tcMar>
            <w:vAlign w:val="center"/>
          </w:tcPr>
          <w:p w14:paraId="7BDA2250" w14:textId="77777777" w:rsidR="00577B53" w:rsidRDefault="00C27D64">
            <w:pPr>
              <w:pStyle w:val="normal0"/>
              <w:widowControl w:val="0"/>
              <w:spacing w:line="240" w:lineRule="auto"/>
              <w:jc w:val="center"/>
            </w:pPr>
            <w:r>
              <w:rPr>
                <w:sz w:val="16"/>
                <w:szCs w:val="16"/>
              </w:rPr>
              <w:t>Chart Below</w:t>
            </w:r>
          </w:p>
        </w:tc>
        <w:tc>
          <w:tcPr>
            <w:tcW w:w="2040" w:type="dxa"/>
            <w:tcMar>
              <w:top w:w="100" w:type="dxa"/>
              <w:left w:w="100" w:type="dxa"/>
              <w:bottom w:w="100" w:type="dxa"/>
              <w:right w:w="100" w:type="dxa"/>
            </w:tcMar>
            <w:vAlign w:val="center"/>
          </w:tcPr>
          <w:p w14:paraId="7A635251" w14:textId="77777777" w:rsidR="00577B53" w:rsidRDefault="0038266E">
            <w:pPr>
              <w:pStyle w:val="normal0"/>
              <w:widowControl w:val="0"/>
              <w:spacing w:line="240" w:lineRule="auto"/>
              <w:jc w:val="center"/>
            </w:pPr>
            <w:r>
              <w:t>X1</w:t>
            </w:r>
          </w:p>
        </w:tc>
        <w:tc>
          <w:tcPr>
            <w:tcW w:w="975" w:type="dxa"/>
            <w:tcMar>
              <w:top w:w="100" w:type="dxa"/>
              <w:left w:w="100" w:type="dxa"/>
              <w:bottom w:w="100" w:type="dxa"/>
              <w:right w:w="100" w:type="dxa"/>
            </w:tcMar>
            <w:vAlign w:val="center"/>
          </w:tcPr>
          <w:p w14:paraId="4F59E5FC" w14:textId="77777777" w:rsidR="00577B53" w:rsidRDefault="00577B53">
            <w:pPr>
              <w:pStyle w:val="normal0"/>
              <w:widowControl w:val="0"/>
              <w:spacing w:line="240" w:lineRule="auto"/>
              <w:jc w:val="center"/>
            </w:pPr>
          </w:p>
        </w:tc>
        <w:tc>
          <w:tcPr>
            <w:tcW w:w="1320" w:type="dxa"/>
            <w:tcMar>
              <w:top w:w="100" w:type="dxa"/>
              <w:left w:w="100" w:type="dxa"/>
              <w:bottom w:w="100" w:type="dxa"/>
              <w:right w:w="100" w:type="dxa"/>
            </w:tcMar>
            <w:vAlign w:val="center"/>
          </w:tcPr>
          <w:p w14:paraId="46D8D86D" w14:textId="77777777" w:rsidR="00577B53" w:rsidRDefault="00C27D64">
            <w:pPr>
              <w:pStyle w:val="normal0"/>
              <w:widowControl w:val="0"/>
              <w:spacing w:line="240" w:lineRule="auto"/>
              <w:jc w:val="center"/>
            </w:pPr>
            <w:r>
              <w:rPr>
                <w:b/>
              </w:rPr>
              <w:t>25</w:t>
            </w:r>
          </w:p>
        </w:tc>
      </w:tr>
      <w:tr w:rsidR="00577B53" w14:paraId="681E2C4C" w14:textId="77777777">
        <w:tc>
          <w:tcPr>
            <w:tcW w:w="3225" w:type="dxa"/>
            <w:tcMar>
              <w:top w:w="100" w:type="dxa"/>
              <w:left w:w="100" w:type="dxa"/>
              <w:bottom w:w="100" w:type="dxa"/>
              <w:right w:w="100" w:type="dxa"/>
            </w:tcMar>
            <w:vAlign w:val="center"/>
          </w:tcPr>
          <w:p w14:paraId="2A261CF4" w14:textId="77777777" w:rsidR="00577B53" w:rsidRDefault="00C27D64">
            <w:pPr>
              <w:pStyle w:val="normal0"/>
              <w:widowControl w:val="0"/>
              <w:spacing w:line="240" w:lineRule="auto"/>
            </w:pPr>
            <w:r>
              <w:rPr>
                <w:b/>
              </w:rPr>
              <w:t>Student Progress Over Time</w:t>
            </w:r>
          </w:p>
        </w:tc>
        <w:tc>
          <w:tcPr>
            <w:tcW w:w="1740" w:type="dxa"/>
            <w:tcMar>
              <w:top w:w="100" w:type="dxa"/>
              <w:left w:w="100" w:type="dxa"/>
              <w:bottom w:w="100" w:type="dxa"/>
              <w:right w:w="100" w:type="dxa"/>
            </w:tcMar>
            <w:vAlign w:val="center"/>
          </w:tcPr>
          <w:p w14:paraId="133196B5" w14:textId="77777777" w:rsidR="00577B53" w:rsidRDefault="00C27D64">
            <w:pPr>
              <w:pStyle w:val="normal0"/>
              <w:widowControl w:val="0"/>
              <w:spacing w:line="240" w:lineRule="auto"/>
              <w:jc w:val="center"/>
            </w:pPr>
            <w:r>
              <w:rPr>
                <w:sz w:val="16"/>
                <w:szCs w:val="16"/>
              </w:rPr>
              <w:t>See Below</w:t>
            </w:r>
          </w:p>
        </w:tc>
        <w:tc>
          <w:tcPr>
            <w:tcW w:w="2040" w:type="dxa"/>
            <w:tcMar>
              <w:top w:w="100" w:type="dxa"/>
              <w:left w:w="100" w:type="dxa"/>
              <w:bottom w:w="100" w:type="dxa"/>
              <w:right w:w="100" w:type="dxa"/>
            </w:tcMar>
            <w:vAlign w:val="center"/>
          </w:tcPr>
          <w:p w14:paraId="706F5DF7" w14:textId="77777777" w:rsidR="00577B53" w:rsidRDefault="00C27D64">
            <w:pPr>
              <w:pStyle w:val="normal0"/>
              <w:widowControl w:val="0"/>
              <w:spacing w:line="240" w:lineRule="auto"/>
              <w:jc w:val="center"/>
            </w:pPr>
            <w:r>
              <w:t>x(Points Possible)</w:t>
            </w:r>
          </w:p>
        </w:tc>
        <w:tc>
          <w:tcPr>
            <w:tcW w:w="975" w:type="dxa"/>
            <w:tcMar>
              <w:top w:w="100" w:type="dxa"/>
              <w:left w:w="100" w:type="dxa"/>
              <w:bottom w:w="100" w:type="dxa"/>
              <w:right w:w="100" w:type="dxa"/>
            </w:tcMar>
            <w:vAlign w:val="center"/>
          </w:tcPr>
          <w:p w14:paraId="7B74C01E" w14:textId="77777777" w:rsidR="00577B53" w:rsidRDefault="00577B53">
            <w:pPr>
              <w:pStyle w:val="normal0"/>
              <w:widowControl w:val="0"/>
              <w:spacing w:line="240" w:lineRule="auto"/>
              <w:jc w:val="center"/>
            </w:pPr>
          </w:p>
        </w:tc>
        <w:tc>
          <w:tcPr>
            <w:tcW w:w="1320" w:type="dxa"/>
            <w:tcMar>
              <w:top w:w="100" w:type="dxa"/>
              <w:left w:w="100" w:type="dxa"/>
              <w:bottom w:w="100" w:type="dxa"/>
              <w:right w:w="100" w:type="dxa"/>
            </w:tcMar>
            <w:vAlign w:val="center"/>
          </w:tcPr>
          <w:p w14:paraId="48FB349C" w14:textId="77777777" w:rsidR="00577B53" w:rsidRDefault="00C27D64">
            <w:pPr>
              <w:pStyle w:val="normal0"/>
              <w:widowControl w:val="0"/>
              <w:spacing w:line="240" w:lineRule="auto"/>
              <w:jc w:val="center"/>
            </w:pPr>
            <w:r>
              <w:rPr>
                <w:b/>
              </w:rPr>
              <w:t>30*</w:t>
            </w:r>
          </w:p>
        </w:tc>
      </w:tr>
      <w:tr w:rsidR="00577B53" w14:paraId="04878F76" w14:textId="77777777">
        <w:tc>
          <w:tcPr>
            <w:tcW w:w="3225" w:type="dxa"/>
            <w:tcMar>
              <w:top w:w="100" w:type="dxa"/>
              <w:left w:w="100" w:type="dxa"/>
              <w:bottom w:w="100" w:type="dxa"/>
              <w:right w:w="100" w:type="dxa"/>
            </w:tcMar>
            <w:vAlign w:val="center"/>
          </w:tcPr>
          <w:p w14:paraId="68964177" w14:textId="77777777" w:rsidR="00577B53" w:rsidRDefault="00C27D64">
            <w:pPr>
              <w:pStyle w:val="normal0"/>
              <w:widowControl w:val="0"/>
              <w:spacing w:line="240" w:lineRule="auto"/>
            </w:pPr>
            <w:r>
              <w:rPr>
                <w:b/>
              </w:rPr>
              <w:t>Closing Performance Gaps</w:t>
            </w:r>
          </w:p>
        </w:tc>
        <w:tc>
          <w:tcPr>
            <w:tcW w:w="1740" w:type="dxa"/>
            <w:tcMar>
              <w:top w:w="100" w:type="dxa"/>
              <w:left w:w="100" w:type="dxa"/>
              <w:bottom w:w="100" w:type="dxa"/>
              <w:right w:w="100" w:type="dxa"/>
            </w:tcMar>
            <w:vAlign w:val="center"/>
          </w:tcPr>
          <w:p w14:paraId="675A549C" w14:textId="77777777" w:rsidR="00577B53" w:rsidRDefault="00C27D64">
            <w:pPr>
              <w:pStyle w:val="normal0"/>
              <w:widowControl w:val="0"/>
              <w:spacing w:line="240" w:lineRule="auto"/>
              <w:jc w:val="center"/>
            </w:pPr>
            <w:r>
              <w:rPr>
                <w:sz w:val="16"/>
                <w:szCs w:val="16"/>
              </w:rPr>
              <w:t>See Below</w:t>
            </w:r>
          </w:p>
        </w:tc>
        <w:tc>
          <w:tcPr>
            <w:tcW w:w="2040" w:type="dxa"/>
            <w:tcMar>
              <w:top w:w="100" w:type="dxa"/>
              <w:left w:w="100" w:type="dxa"/>
              <w:bottom w:w="100" w:type="dxa"/>
              <w:right w:w="100" w:type="dxa"/>
            </w:tcMar>
            <w:vAlign w:val="center"/>
          </w:tcPr>
          <w:p w14:paraId="0F6CD179" w14:textId="77777777" w:rsidR="00577B53" w:rsidRDefault="00C27D64">
            <w:pPr>
              <w:pStyle w:val="normal0"/>
              <w:widowControl w:val="0"/>
              <w:spacing w:line="240" w:lineRule="auto"/>
              <w:jc w:val="center"/>
            </w:pPr>
            <w:r>
              <w:t>x5</w:t>
            </w:r>
          </w:p>
        </w:tc>
        <w:tc>
          <w:tcPr>
            <w:tcW w:w="975" w:type="dxa"/>
            <w:tcMar>
              <w:top w:w="100" w:type="dxa"/>
              <w:left w:w="100" w:type="dxa"/>
              <w:bottom w:w="100" w:type="dxa"/>
              <w:right w:w="100" w:type="dxa"/>
            </w:tcMar>
            <w:vAlign w:val="center"/>
          </w:tcPr>
          <w:p w14:paraId="5CACB88A" w14:textId="77777777" w:rsidR="00577B53" w:rsidRDefault="00577B53">
            <w:pPr>
              <w:pStyle w:val="normal0"/>
              <w:widowControl w:val="0"/>
              <w:spacing w:line="240" w:lineRule="auto"/>
              <w:jc w:val="center"/>
            </w:pPr>
          </w:p>
        </w:tc>
        <w:tc>
          <w:tcPr>
            <w:tcW w:w="1320" w:type="dxa"/>
            <w:tcMar>
              <w:top w:w="100" w:type="dxa"/>
              <w:left w:w="100" w:type="dxa"/>
              <w:bottom w:w="100" w:type="dxa"/>
              <w:right w:w="100" w:type="dxa"/>
            </w:tcMar>
            <w:vAlign w:val="center"/>
          </w:tcPr>
          <w:p w14:paraId="69307F11" w14:textId="77777777" w:rsidR="00577B53" w:rsidRDefault="00C27D64">
            <w:pPr>
              <w:pStyle w:val="normal0"/>
              <w:widowControl w:val="0"/>
              <w:spacing w:line="240" w:lineRule="auto"/>
              <w:jc w:val="center"/>
            </w:pPr>
            <w:r>
              <w:rPr>
                <w:b/>
              </w:rPr>
              <w:t>20*</w:t>
            </w:r>
          </w:p>
        </w:tc>
      </w:tr>
      <w:tr w:rsidR="00577B53" w14:paraId="746F36EB" w14:textId="77777777">
        <w:tc>
          <w:tcPr>
            <w:tcW w:w="3225" w:type="dxa"/>
            <w:tcMar>
              <w:top w:w="100" w:type="dxa"/>
              <w:left w:w="100" w:type="dxa"/>
              <w:bottom w:w="100" w:type="dxa"/>
              <w:right w:w="100" w:type="dxa"/>
            </w:tcMar>
            <w:vAlign w:val="center"/>
          </w:tcPr>
          <w:p w14:paraId="5F976500" w14:textId="77777777" w:rsidR="00577B53" w:rsidRDefault="00C27D64">
            <w:pPr>
              <w:pStyle w:val="normal0"/>
              <w:widowControl w:val="0"/>
              <w:spacing w:line="240" w:lineRule="auto"/>
            </w:pPr>
            <w:r>
              <w:rPr>
                <w:b/>
              </w:rPr>
              <w:t>School Climate</w:t>
            </w:r>
          </w:p>
        </w:tc>
        <w:tc>
          <w:tcPr>
            <w:tcW w:w="1740" w:type="dxa"/>
            <w:tcMar>
              <w:top w:w="100" w:type="dxa"/>
              <w:left w:w="100" w:type="dxa"/>
              <w:bottom w:w="100" w:type="dxa"/>
              <w:right w:w="100" w:type="dxa"/>
            </w:tcMar>
            <w:vAlign w:val="center"/>
          </w:tcPr>
          <w:p w14:paraId="4E0AA79C" w14:textId="77777777" w:rsidR="00577B53" w:rsidRDefault="00C27D64">
            <w:pPr>
              <w:pStyle w:val="normal0"/>
              <w:widowControl w:val="0"/>
              <w:spacing w:line="240" w:lineRule="auto"/>
              <w:jc w:val="center"/>
            </w:pPr>
            <w:r>
              <w:rPr>
                <w:sz w:val="16"/>
                <w:szCs w:val="16"/>
              </w:rPr>
              <w:t>Mean of average score for all surveys</w:t>
            </w:r>
          </w:p>
        </w:tc>
        <w:tc>
          <w:tcPr>
            <w:tcW w:w="2040" w:type="dxa"/>
            <w:tcMar>
              <w:top w:w="100" w:type="dxa"/>
              <w:left w:w="100" w:type="dxa"/>
              <w:bottom w:w="100" w:type="dxa"/>
              <w:right w:w="100" w:type="dxa"/>
            </w:tcMar>
            <w:vAlign w:val="center"/>
          </w:tcPr>
          <w:p w14:paraId="09CCFA1F" w14:textId="77777777" w:rsidR="00577B53" w:rsidRDefault="00C27D64">
            <w:pPr>
              <w:pStyle w:val="normal0"/>
              <w:widowControl w:val="0"/>
              <w:spacing w:line="240" w:lineRule="auto"/>
              <w:jc w:val="center"/>
            </w:pPr>
            <w:r>
              <w:t>x1</w:t>
            </w:r>
          </w:p>
        </w:tc>
        <w:tc>
          <w:tcPr>
            <w:tcW w:w="975" w:type="dxa"/>
            <w:tcMar>
              <w:top w:w="100" w:type="dxa"/>
              <w:left w:w="100" w:type="dxa"/>
              <w:bottom w:w="100" w:type="dxa"/>
              <w:right w:w="100" w:type="dxa"/>
            </w:tcMar>
            <w:vAlign w:val="center"/>
          </w:tcPr>
          <w:p w14:paraId="17A420B3" w14:textId="77777777" w:rsidR="00577B53" w:rsidRDefault="00577B53">
            <w:pPr>
              <w:pStyle w:val="normal0"/>
              <w:widowControl w:val="0"/>
              <w:spacing w:line="240" w:lineRule="auto"/>
              <w:jc w:val="center"/>
            </w:pPr>
          </w:p>
        </w:tc>
        <w:tc>
          <w:tcPr>
            <w:tcW w:w="1320" w:type="dxa"/>
            <w:tcMar>
              <w:top w:w="100" w:type="dxa"/>
              <w:left w:w="100" w:type="dxa"/>
              <w:bottom w:w="100" w:type="dxa"/>
              <w:right w:w="100" w:type="dxa"/>
            </w:tcMar>
            <w:vAlign w:val="center"/>
          </w:tcPr>
          <w:p w14:paraId="0E8737AA" w14:textId="77777777" w:rsidR="00577B53" w:rsidRDefault="00C27D64">
            <w:pPr>
              <w:pStyle w:val="normal0"/>
              <w:widowControl w:val="0"/>
              <w:spacing w:line="240" w:lineRule="auto"/>
              <w:jc w:val="center"/>
            </w:pPr>
            <w:r>
              <w:rPr>
                <w:b/>
              </w:rPr>
              <w:t>5</w:t>
            </w:r>
          </w:p>
        </w:tc>
      </w:tr>
      <w:tr w:rsidR="00577B53" w14:paraId="383F36C5" w14:textId="77777777">
        <w:tc>
          <w:tcPr>
            <w:tcW w:w="3225" w:type="dxa"/>
            <w:tcMar>
              <w:top w:w="100" w:type="dxa"/>
              <w:left w:w="100" w:type="dxa"/>
              <w:bottom w:w="100" w:type="dxa"/>
              <w:right w:w="100" w:type="dxa"/>
            </w:tcMar>
            <w:vAlign w:val="center"/>
          </w:tcPr>
          <w:p w14:paraId="699ABE1E" w14:textId="77777777" w:rsidR="00577B53" w:rsidRDefault="00C27D64">
            <w:pPr>
              <w:pStyle w:val="normal0"/>
              <w:widowControl w:val="0"/>
              <w:spacing w:line="240" w:lineRule="auto"/>
            </w:pPr>
            <w:r>
              <w:rPr>
                <w:b/>
              </w:rPr>
              <w:t>Total</w:t>
            </w:r>
          </w:p>
        </w:tc>
        <w:tc>
          <w:tcPr>
            <w:tcW w:w="1740" w:type="dxa"/>
            <w:tcMar>
              <w:top w:w="100" w:type="dxa"/>
              <w:left w:w="100" w:type="dxa"/>
              <w:bottom w:w="100" w:type="dxa"/>
              <w:right w:w="100" w:type="dxa"/>
            </w:tcMar>
            <w:vAlign w:val="center"/>
          </w:tcPr>
          <w:p w14:paraId="707C82B3" w14:textId="77777777" w:rsidR="00577B53" w:rsidRDefault="00577B53">
            <w:pPr>
              <w:pStyle w:val="normal0"/>
              <w:widowControl w:val="0"/>
              <w:spacing w:line="240" w:lineRule="auto"/>
              <w:jc w:val="center"/>
            </w:pPr>
          </w:p>
        </w:tc>
        <w:tc>
          <w:tcPr>
            <w:tcW w:w="2040" w:type="dxa"/>
            <w:tcMar>
              <w:top w:w="100" w:type="dxa"/>
              <w:left w:w="100" w:type="dxa"/>
              <w:bottom w:w="100" w:type="dxa"/>
              <w:right w:w="100" w:type="dxa"/>
            </w:tcMar>
            <w:vAlign w:val="center"/>
          </w:tcPr>
          <w:p w14:paraId="73AF0C41" w14:textId="77777777" w:rsidR="00577B53" w:rsidRDefault="00577B53">
            <w:pPr>
              <w:pStyle w:val="normal0"/>
              <w:widowControl w:val="0"/>
              <w:spacing w:line="240" w:lineRule="auto"/>
              <w:jc w:val="center"/>
            </w:pPr>
          </w:p>
        </w:tc>
        <w:tc>
          <w:tcPr>
            <w:tcW w:w="975" w:type="dxa"/>
            <w:tcMar>
              <w:top w:w="100" w:type="dxa"/>
              <w:left w:w="100" w:type="dxa"/>
              <w:bottom w:w="100" w:type="dxa"/>
              <w:right w:w="100" w:type="dxa"/>
            </w:tcMar>
            <w:vAlign w:val="center"/>
          </w:tcPr>
          <w:p w14:paraId="1D7603F0" w14:textId="77777777" w:rsidR="00577B53" w:rsidRDefault="00577B53">
            <w:pPr>
              <w:pStyle w:val="normal0"/>
              <w:widowControl w:val="0"/>
              <w:spacing w:line="240" w:lineRule="auto"/>
              <w:jc w:val="center"/>
            </w:pPr>
          </w:p>
        </w:tc>
        <w:tc>
          <w:tcPr>
            <w:tcW w:w="1320" w:type="dxa"/>
            <w:tcMar>
              <w:top w:w="100" w:type="dxa"/>
              <w:left w:w="100" w:type="dxa"/>
              <w:bottom w:w="100" w:type="dxa"/>
              <w:right w:w="100" w:type="dxa"/>
            </w:tcMar>
            <w:vAlign w:val="center"/>
          </w:tcPr>
          <w:p w14:paraId="5381DE6F" w14:textId="77777777" w:rsidR="00577B53" w:rsidRDefault="00C27D64">
            <w:pPr>
              <w:pStyle w:val="normal0"/>
              <w:widowControl w:val="0"/>
              <w:spacing w:line="240" w:lineRule="auto"/>
              <w:jc w:val="center"/>
            </w:pPr>
            <w:r>
              <w:rPr>
                <w:b/>
              </w:rPr>
              <w:t>80</w:t>
            </w:r>
          </w:p>
        </w:tc>
      </w:tr>
    </w:tbl>
    <w:p w14:paraId="6C24F35D" w14:textId="77777777" w:rsidR="00577B53" w:rsidRDefault="00C27D64">
      <w:pPr>
        <w:pStyle w:val="normal0"/>
        <w:spacing w:line="240" w:lineRule="auto"/>
      </w:pPr>
      <w:r>
        <w:rPr>
          <w:sz w:val="18"/>
          <w:szCs w:val="18"/>
        </w:rPr>
        <w:t>*For every subgroup exemption a school receives, 5 points will be subtracted from the points possible for Closing Performance Gaps and 5 points will be added to the points possible for Student Progress Over TIme</w:t>
      </w:r>
    </w:p>
    <w:p w14:paraId="609921C8" w14:textId="77777777" w:rsidR="00577B53" w:rsidRDefault="00C27D64">
      <w:pPr>
        <w:pStyle w:val="normal0"/>
      </w:pPr>
      <w:r>
        <w:br w:type="page"/>
      </w:r>
    </w:p>
    <w:p w14:paraId="6DB1DE2E" w14:textId="77777777" w:rsidR="00577B53" w:rsidRDefault="00577B53">
      <w:pPr>
        <w:pStyle w:val="Heading2"/>
        <w:spacing w:after="200" w:line="240" w:lineRule="auto"/>
        <w:contextualSpacing w:val="0"/>
      </w:pPr>
      <w:bookmarkStart w:id="16" w:name="h.2la5hxpmd21b" w:colFirst="0" w:colLast="0"/>
      <w:bookmarkEnd w:id="16"/>
    </w:p>
    <w:p w14:paraId="5BA57376" w14:textId="77777777" w:rsidR="00577B53" w:rsidRDefault="00C27D64">
      <w:pPr>
        <w:pStyle w:val="Heading2"/>
        <w:spacing w:after="200"/>
        <w:contextualSpacing w:val="0"/>
      </w:pPr>
      <w:bookmarkStart w:id="17" w:name="h.larm0s2dfc9w" w:colFirst="0" w:colLast="0"/>
      <w:bookmarkEnd w:id="17"/>
      <w:r>
        <w:rPr>
          <w:b/>
          <w:u w:val="single"/>
        </w:rPr>
        <w:t>Index Raw Scores</w:t>
      </w:r>
    </w:p>
    <w:p w14:paraId="754B4D4E" w14:textId="77777777" w:rsidR="00577B53" w:rsidRDefault="00C27D64">
      <w:pPr>
        <w:pStyle w:val="Heading3"/>
        <w:contextualSpacing w:val="0"/>
      </w:pPr>
      <w:bookmarkStart w:id="18" w:name="h.wtyi653u14eb" w:colFirst="0" w:colLast="0"/>
      <w:bookmarkEnd w:id="18"/>
      <w:r>
        <w:rPr>
          <w:b/>
          <w:color w:val="000000"/>
        </w:rPr>
        <w:t xml:space="preserve">Index 1: Academic Proficiency </w:t>
      </w:r>
    </w:p>
    <w:tbl>
      <w:tblPr>
        <w:tblStyle w:val="a0"/>
        <w:tblW w:w="9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1245"/>
        <w:gridCol w:w="1365"/>
        <w:gridCol w:w="1710"/>
        <w:gridCol w:w="1200"/>
        <w:gridCol w:w="1230"/>
        <w:gridCol w:w="1455"/>
      </w:tblGrid>
      <w:tr w:rsidR="00577B53" w14:paraId="20A38AB8" w14:textId="77777777">
        <w:trPr>
          <w:trHeight w:val="420"/>
        </w:trPr>
        <w:tc>
          <w:tcPr>
            <w:tcW w:w="2475" w:type="dxa"/>
            <w:gridSpan w:val="2"/>
            <w:tcMar>
              <w:top w:w="100" w:type="dxa"/>
              <w:left w:w="100" w:type="dxa"/>
              <w:bottom w:w="100" w:type="dxa"/>
              <w:right w:w="100" w:type="dxa"/>
            </w:tcMar>
            <w:vAlign w:val="center"/>
          </w:tcPr>
          <w:p w14:paraId="64E1A890" w14:textId="77777777" w:rsidR="00577B53" w:rsidRDefault="00C27D64">
            <w:pPr>
              <w:pStyle w:val="normal0"/>
              <w:widowControl w:val="0"/>
              <w:spacing w:line="240" w:lineRule="auto"/>
              <w:jc w:val="center"/>
            </w:pPr>
            <w:r>
              <w:t>Percentage of Students Scoring At or Above Proficiency</w:t>
            </w:r>
          </w:p>
        </w:tc>
        <w:tc>
          <w:tcPr>
            <w:tcW w:w="1365" w:type="dxa"/>
            <w:vMerge w:val="restart"/>
            <w:tcMar>
              <w:top w:w="100" w:type="dxa"/>
              <w:left w:w="100" w:type="dxa"/>
              <w:bottom w:w="100" w:type="dxa"/>
              <w:right w:w="100" w:type="dxa"/>
            </w:tcMar>
            <w:vAlign w:val="center"/>
          </w:tcPr>
          <w:p w14:paraId="400C86A3" w14:textId="77777777" w:rsidR="00577B53" w:rsidRDefault="00C27D64">
            <w:pPr>
              <w:pStyle w:val="normal0"/>
              <w:widowControl w:val="0"/>
              <w:spacing w:line="240" w:lineRule="auto"/>
              <w:jc w:val="center"/>
            </w:pPr>
            <w:r>
              <w:t>Score</w:t>
            </w:r>
          </w:p>
        </w:tc>
        <w:tc>
          <w:tcPr>
            <w:tcW w:w="1710" w:type="dxa"/>
            <w:tcBorders>
              <w:top w:val="nil"/>
              <w:bottom w:val="nil"/>
            </w:tcBorders>
            <w:tcMar>
              <w:top w:w="100" w:type="dxa"/>
              <w:left w:w="100" w:type="dxa"/>
              <w:bottom w:w="100" w:type="dxa"/>
              <w:right w:w="100" w:type="dxa"/>
            </w:tcMar>
            <w:vAlign w:val="center"/>
          </w:tcPr>
          <w:p w14:paraId="3B95EB64" w14:textId="77777777" w:rsidR="00577B53" w:rsidRDefault="00577B53">
            <w:pPr>
              <w:pStyle w:val="normal0"/>
              <w:widowControl w:val="0"/>
              <w:spacing w:line="240" w:lineRule="auto"/>
              <w:jc w:val="center"/>
            </w:pPr>
          </w:p>
        </w:tc>
        <w:tc>
          <w:tcPr>
            <w:tcW w:w="2430" w:type="dxa"/>
            <w:gridSpan w:val="2"/>
            <w:tcMar>
              <w:top w:w="100" w:type="dxa"/>
              <w:left w:w="100" w:type="dxa"/>
              <w:bottom w:w="100" w:type="dxa"/>
              <w:right w:w="100" w:type="dxa"/>
            </w:tcMar>
            <w:vAlign w:val="center"/>
          </w:tcPr>
          <w:p w14:paraId="01741C72" w14:textId="77777777" w:rsidR="00577B53" w:rsidRDefault="00C27D64">
            <w:pPr>
              <w:pStyle w:val="normal0"/>
              <w:widowControl w:val="0"/>
              <w:spacing w:line="240" w:lineRule="auto"/>
              <w:jc w:val="center"/>
            </w:pPr>
            <w:r>
              <w:t>Percentage of Students Scoring At or Above Proficiency</w:t>
            </w:r>
          </w:p>
        </w:tc>
        <w:tc>
          <w:tcPr>
            <w:tcW w:w="1455" w:type="dxa"/>
            <w:vMerge w:val="restart"/>
            <w:tcMar>
              <w:top w:w="100" w:type="dxa"/>
              <w:left w:w="100" w:type="dxa"/>
              <w:bottom w:w="100" w:type="dxa"/>
              <w:right w:w="100" w:type="dxa"/>
            </w:tcMar>
            <w:vAlign w:val="center"/>
          </w:tcPr>
          <w:p w14:paraId="5E73EEF8" w14:textId="77777777" w:rsidR="00577B53" w:rsidRDefault="00C27D64">
            <w:pPr>
              <w:pStyle w:val="normal0"/>
              <w:widowControl w:val="0"/>
              <w:spacing w:line="240" w:lineRule="auto"/>
              <w:jc w:val="center"/>
            </w:pPr>
            <w:r>
              <w:t>Score</w:t>
            </w:r>
          </w:p>
        </w:tc>
      </w:tr>
      <w:tr w:rsidR="00577B53" w14:paraId="54C0FD1C" w14:textId="77777777">
        <w:trPr>
          <w:trHeight w:val="420"/>
        </w:trPr>
        <w:tc>
          <w:tcPr>
            <w:tcW w:w="1230" w:type="dxa"/>
            <w:tcMar>
              <w:top w:w="100" w:type="dxa"/>
              <w:left w:w="100" w:type="dxa"/>
              <w:bottom w:w="100" w:type="dxa"/>
              <w:right w:w="100" w:type="dxa"/>
            </w:tcMar>
            <w:vAlign w:val="center"/>
          </w:tcPr>
          <w:p w14:paraId="3D0D85FE" w14:textId="77777777" w:rsidR="00577B53" w:rsidRDefault="00C27D64">
            <w:pPr>
              <w:pStyle w:val="normal0"/>
              <w:widowControl w:val="0"/>
              <w:spacing w:line="240" w:lineRule="auto"/>
              <w:jc w:val="center"/>
            </w:pPr>
            <w:r>
              <w:t>Low</w:t>
            </w:r>
          </w:p>
        </w:tc>
        <w:tc>
          <w:tcPr>
            <w:tcW w:w="1245" w:type="dxa"/>
            <w:tcMar>
              <w:top w:w="100" w:type="dxa"/>
              <w:left w:w="100" w:type="dxa"/>
              <w:bottom w:w="100" w:type="dxa"/>
              <w:right w:w="100" w:type="dxa"/>
            </w:tcMar>
            <w:vAlign w:val="center"/>
          </w:tcPr>
          <w:p w14:paraId="4ADA303F" w14:textId="77777777" w:rsidR="00577B53" w:rsidRDefault="00C27D64">
            <w:pPr>
              <w:pStyle w:val="normal0"/>
              <w:widowControl w:val="0"/>
              <w:spacing w:line="240" w:lineRule="auto"/>
              <w:jc w:val="center"/>
            </w:pPr>
            <w:r>
              <w:t>High</w:t>
            </w:r>
          </w:p>
        </w:tc>
        <w:tc>
          <w:tcPr>
            <w:tcW w:w="1365" w:type="dxa"/>
            <w:vMerge/>
            <w:tcMar>
              <w:top w:w="100" w:type="dxa"/>
              <w:left w:w="100" w:type="dxa"/>
              <w:bottom w:w="100" w:type="dxa"/>
              <w:right w:w="100" w:type="dxa"/>
            </w:tcMar>
            <w:vAlign w:val="center"/>
          </w:tcPr>
          <w:p w14:paraId="2F79CBF6" w14:textId="77777777" w:rsidR="00577B53" w:rsidRDefault="00577B53">
            <w:pPr>
              <w:pStyle w:val="normal0"/>
              <w:widowControl w:val="0"/>
              <w:spacing w:line="240" w:lineRule="auto"/>
              <w:jc w:val="center"/>
            </w:pPr>
          </w:p>
        </w:tc>
        <w:tc>
          <w:tcPr>
            <w:tcW w:w="1710" w:type="dxa"/>
            <w:tcBorders>
              <w:top w:val="nil"/>
              <w:bottom w:val="nil"/>
            </w:tcBorders>
            <w:tcMar>
              <w:top w:w="100" w:type="dxa"/>
              <w:left w:w="100" w:type="dxa"/>
              <w:bottom w:w="100" w:type="dxa"/>
              <w:right w:w="100" w:type="dxa"/>
            </w:tcMar>
            <w:vAlign w:val="center"/>
          </w:tcPr>
          <w:p w14:paraId="6E92657F" w14:textId="77777777" w:rsidR="00577B53" w:rsidRDefault="00577B53">
            <w:pPr>
              <w:pStyle w:val="normal0"/>
              <w:widowControl w:val="0"/>
              <w:spacing w:line="240" w:lineRule="auto"/>
              <w:jc w:val="center"/>
            </w:pPr>
          </w:p>
        </w:tc>
        <w:tc>
          <w:tcPr>
            <w:tcW w:w="1200" w:type="dxa"/>
            <w:tcMar>
              <w:top w:w="100" w:type="dxa"/>
              <w:left w:w="100" w:type="dxa"/>
              <w:bottom w:w="100" w:type="dxa"/>
              <w:right w:w="100" w:type="dxa"/>
            </w:tcMar>
            <w:vAlign w:val="center"/>
          </w:tcPr>
          <w:p w14:paraId="014C9DC5" w14:textId="77777777" w:rsidR="00577B53" w:rsidRDefault="00C27D64">
            <w:pPr>
              <w:pStyle w:val="normal0"/>
              <w:widowControl w:val="0"/>
              <w:spacing w:line="240" w:lineRule="auto"/>
              <w:jc w:val="center"/>
            </w:pPr>
            <w:r>
              <w:t>Low</w:t>
            </w:r>
          </w:p>
        </w:tc>
        <w:tc>
          <w:tcPr>
            <w:tcW w:w="1230" w:type="dxa"/>
            <w:tcMar>
              <w:top w:w="100" w:type="dxa"/>
              <w:left w:w="100" w:type="dxa"/>
              <w:bottom w:w="100" w:type="dxa"/>
              <w:right w:w="100" w:type="dxa"/>
            </w:tcMar>
            <w:vAlign w:val="center"/>
          </w:tcPr>
          <w:p w14:paraId="734D3FF1" w14:textId="77777777" w:rsidR="00577B53" w:rsidRDefault="00C27D64">
            <w:pPr>
              <w:pStyle w:val="normal0"/>
              <w:widowControl w:val="0"/>
              <w:spacing w:line="240" w:lineRule="auto"/>
              <w:jc w:val="center"/>
            </w:pPr>
            <w:r>
              <w:t>High</w:t>
            </w:r>
          </w:p>
        </w:tc>
        <w:tc>
          <w:tcPr>
            <w:tcW w:w="1455" w:type="dxa"/>
            <w:vMerge/>
            <w:tcMar>
              <w:top w:w="100" w:type="dxa"/>
              <w:left w:w="100" w:type="dxa"/>
              <w:bottom w:w="100" w:type="dxa"/>
              <w:right w:w="100" w:type="dxa"/>
            </w:tcMar>
            <w:vAlign w:val="center"/>
          </w:tcPr>
          <w:p w14:paraId="759AF54A" w14:textId="77777777" w:rsidR="00577B53" w:rsidRDefault="00577B53">
            <w:pPr>
              <w:pStyle w:val="normal0"/>
              <w:widowControl w:val="0"/>
              <w:spacing w:line="240" w:lineRule="auto"/>
              <w:jc w:val="center"/>
            </w:pPr>
          </w:p>
        </w:tc>
      </w:tr>
      <w:tr w:rsidR="00577B53" w14:paraId="39DFFFF7" w14:textId="77777777">
        <w:tc>
          <w:tcPr>
            <w:tcW w:w="1230" w:type="dxa"/>
            <w:tcMar>
              <w:top w:w="100" w:type="dxa"/>
              <w:left w:w="100" w:type="dxa"/>
              <w:bottom w:w="100" w:type="dxa"/>
              <w:right w:w="100" w:type="dxa"/>
            </w:tcMar>
            <w:vAlign w:val="center"/>
          </w:tcPr>
          <w:p w14:paraId="0ABB044D" w14:textId="77777777" w:rsidR="00577B53" w:rsidRDefault="00C27D64">
            <w:pPr>
              <w:pStyle w:val="normal0"/>
              <w:widowControl w:val="0"/>
              <w:spacing w:line="240" w:lineRule="auto"/>
              <w:jc w:val="center"/>
            </w:pPr>
            <w:r>
              <w:t>96</w:t>
            </w:r>
          </w:p>
        </w:tc>
        <w:tc>
          <w:tcPr>
            <w:tcW w:w="1245" w:type="dxa"/>
            <w:tcMar>
              <w:top w:w="100" w:type="dxa"/>
              <w:left w:w="100" w:type="dxa"/>
              <w:bottom w:w="100" w:type="dxa"/>
              <w:right w:w="100" w:type="dxa"/>
            </w:tcMar>
            <w:vAlign w:val="center"/>
          </w:tcPr>
          <w:p w14:paraId="43A0AB61" w14:textId="77777777" w:rsidR="00577B53" w:rsidRDefault="00C27D64">
            <w:pPr>
              <w:pStyle w:val="normal0"/>
              <w:widowControl w:val="0"/>
              <w:spacing w:line="240" w:lineRule="auto"/>
              <w:jc w:val="center"/>
            </w:pPr>
            <w:r>
              <w:t>100</w:t>
            </w:r>
          </w:p>
        </w:tc>
        <w:tc>
          <w:tcPr>
            <w:tcW w:w="1365" w:type="dxa"/>
            <w:tcMar>
              <w:top w:w="100" w:type="dxa"/>
              <w:left w:w="100" w:type="dxa"/>
              <w:bottom w:w="100" w:type="dxa"/>
              <w:right w:w="100" w:type="dxa"/>
            </w:tcMar>
            <w:vAlign w:val="center"/>
          </w:tcPr>
          <w:p w14:paraId="05DB84EE" w14:textId="77777777" w:rsidR="00577B53" w:rsidRDefault="00C27D64">
            <w:pPr>
              <w:pStyle w:val="normal0"/>
              <w:widowControl w:val="0"/>
              <w:spacing w:line="240" w:lineRule="auto"/>
              <w:jc w:val="center"/>
            </w:pPr>
            <w:r>
              <w:t>25</w:t>
            </w:r>
          </w:p>
        </w:tc>
        <w:tc>
          <w:tcPr>
            <w:tcW w:w="1710" w:type="dxa"/>
            <w:tcBorders>
              <w:top w:val="nil"/>
              <w:bottom w:val="nil"/>
            </w:tcBorders>
            <w:tcMar>
              <w:top w:w="100" w:type="dxa"/>
              <w:left w:w="100" w:type="dxa"/>
              <w:bottom w:w="100" w:type="dxa"/>
              <w:right w:w="100" w:type="dxa"/>
            </w:tcMar>
            <w:vAlign w:val="center"/>
          </w:tcPr>
          <w:p w14:paraId="51874606" w14:textId="77777777" w:rsidR="00577B53" w:rsidRDefault="00577B53">
            <w:pPr>
              <w:pStyle w:val="normal0"/>
              <w:widowControl w:val="0"/>
              <w:spacing w:line="240" w:lineRule="auto"/>
              <w:jc w:val="center"/>
            </w:pPr>
          </w:p>
        </w:tc>
        <w:tc>
          <w:tcPr>
            <w:tcW w:w="1200" w:type="dxa"/>
            <w:tcMar>
              <w:top w:w="100" w:type="dxa"/>
              <w:left w:w="100" w:type="dxa"/>
              <w:bottom w:w="100" w:type="dxa"/>
              <w:right w:w="100" w:type="dxa"/>
            </w:tcMar>
            <w:vAlign w:val="center"/>
          </w:tcPr>
          <w:p w14:paraId="4D962A6C" w14:textId="77777777" w:rsidR="00577B53" w:rsidRDefault="00C27D64">
            <w:pPr>
              <w:pStyle w:val="normal0"/>
              <w:widowControl w:val="0"/>
              <w:spacing w:line="240" w:lineRule="auto"/>
              <w:jc w:val="center"/>
            </w:pPr>
            <w:r>
              <w:t>44</w:t>
            </w:r>
          </w:p>
        </w:tc>
        <w:tc>
          <w:tcPr>
            <w:tcW w:w="1230" w:type="dxa"/>
            <w:tcMar>
              <w:top w:w="100" w:type="dxa"/>
              <w:left w:w="100" w:type="dxa"/>
              <w:bottom w:w="100" w:type="dxa"/>
              <w:right w:w="100" w:type="dxa"/>
            </w:tcMar>
            <w:vAlign w:val="center"/>
          </w:tcPr>
          <w:p w14:paraId="14E64DB3" w14:textId="77777777" w:rsidR="00577B53" w:rsidRDefault="00C27D64">
            <w:pPr>
              <w:pStyle w:val="normal0"/>
              <w:widowControl w:val="0"/>
              <w:spacing w:line="240" w:lineRule="auto"/>
              <w:jc w:val="center"/>
            </w:pPr>
            <w:r>
              <w:t>48</w:t>
            </w:r>
          </w:p>
        </w:tc>
        <w:tc>
          <w:tcPr>
            <w:tcW w:w="1455" w:type="dxa"/>
            <w:tcMar>
              <w:top w:w="100" w:type="dxa"/>
              <w:left w:w="100" w:type="dxa"/>
              <w:bottom w:w="100" w:type="dxa"/>
              <w:right w:w="100" w:type="dxa"/>
            </w:tcMar>
            <w:vAlign w:val="center"/>
          </w:tcPr>
          <w:p w14:paraId="623F850C" w14:textId="77777777" w:rsidR="00577B53" w:rsidRDefault="00C27D64">
            <w:pPr>
              <w:pStyle w:val="normal0"/>
              <w:widowControl w:val="0"/>
              <w:spacing w:line="240" w:lineRule="auto"/>
              <w:jc w:val="center"/>
            </w:pPr>
            <w:r>
              <w:t>12</w:t>
            </w:r>
          </w:p>
        </w:tc>
      </w:tr>
      <w:tr w:rsidR="00577B53" w14:paraId="134C0116" w14:textId="77777777">
        <w:tc>
          <w:tcPr>
            <w:tcW w:w="1230" w:type="dxa"/>
            <w:tcMar>
              <w:top w:w="100" w:type="dxa"/>
              <w:left w:w="100" w:type="dxa"/>
              <w:bottom w:w="100" w:type="dxa"/>
              <w:right w:w="100" w:type="dxa"/>
            </w:tcMar>
            <w:vAlign w:val="center"/>
          </w:tcPr>
          <w:p w14:paraId="616B8211" w14:textId="77777777" w:rsidR="00577B53" w:rsidRDefault="00C27D64">
            <w:pPr>
              <w:pStyle w:val="normal0"/>
              <w:widowControl w:val="0"/>
              <w:spacing w:line="240" w:lineRule="auto"/>
              <w:jc w:val="center"/>
            </w:pPr>
            <w:r>
              <w:t>92</w:t>
            </w:r>
          </w:p>
        </w:tc>
        <w:tc>
          <w:tcPr>
            <w:tcW w:w="1245" w:type="dxa"/>
            <w:tcMar>
              <w:top w:w="100" w:type="dxa"/>
              <w:left w:w="100" w:type="dxa"/>
              <w:bottom w:w="100" w:type="dxa"/>
              <w:right w:w="100" w:type="dxa"/>
            </w:tcMar>
            <w:vAlign w:val="center"/>
          </w:tcPr>
          <w:p w14:paraId="7469B01F" w14:textId="77777777" w:rsidR="00577B53" w:rsidRDefault="00C27D64">
            <w:pPr>
              <w:pStyle w:val="normal0"/>
              <w:widowControl w:val="0"/>
              <w:spacing w:line="240" w:lineRule="auto"/>
              <w:jc w:val="center"/>
            </w:pPr>
            <w:r>
              <w:t>96</w:t>
            </w:r>
          </w:p>
        </w:tc>
        <w:tc>
          <w:tcPr>
            <w:tcW w:w="1365" w:type="dxa"/>
            <w:tcMar>
              <w:top w:w="100" w:type="dxa"/>
              <w:left w:w="100" w:type="dxa"/>
              <w:bottom w:w="100" w:type="dxa"/>
              <w:right w:w="100" w:type="dxa"/>
            </w:tcMar>
            <w:vAlign w:val="center"/>
          </w:tcPr>
          <w:p w14:paraId="15968F53" w14:textId="77777777" w:rsidR="00577B53" w:rsidRDefault="00C27D64">
            <w:pPr>
              <w:pStyle w:val="normal0"/>
              <w:widowControl w:val="0"/>
              <w:spacing w:line="240" w:lineRule="auto"/>
              <w:jc w:val="center"/>
            </w:pPr>
            <w:r>
              <w:t>24</w:t>
            </w:r>
          </w:p>
        </w:tc>
        <w:tc>
          <w:tcPr>
            <w:tcW w:w="1710" w:type="dxa"/>
            <w:tcBorders>
              <w:top w:val="nil"/>
              <w:bottom w:val="nil"/>
            </w:tcBorders>
            <w:tcMar>
              <w:top w:w="100" w:type="dxa"/>
              <w:left w:w="100" w:type="dxa"/>
              <w:bottom w:w="100" w:type="dxa"/>
              <w:right w:w="100" w:type="dxa"/>
            </w:tcMar>
            <w:vAlign w:val="center"/>
          </w:tcPr>
          <w:p w14:paraId="4C051295" w14:textId="77777777" w:rsidR="00577B53" w:rsidRDefault="00577B53">
            <w:pPr>
              <w:pStyle w:val="normal0"/>
              <w:widowControl w:val="0"/>
              <w:spacing w:line="240" w:lineRule="auto"/>
              <w:jc w:val="center"/>
            </w:pPr>
          </w:p>
        </w:tc>
        <w:tc>
          <w:tcPr>
            <w:tcW w:w="1200" w:type="dxa"/>
            <w:tcMar>
              <w:top w:w="100" w:type="dxa"/>
              <w:left w:w="100" w:type="dxa"/>
              <w:bottom w:w="100" w:type="dxa"/>
              <w:right w:w="100" w:type="dxa"/>
            </w:tcMar>
            <w:vAlign w:val="center"/>
          </w:tcPr>
          <w:p w14:paraId="79A6B724" w14:textId="77777777" w:rsidR="00577B53" w:rsidRDefault="00C27D64">
            <w:pPr>
              <w:pStyle w:val="normal0"/>
              <w:widowControl w:val="0"/>
              <w:spacing w:line="240" w:lineRule="auto"/>
              <w:jc w:val="center"/>
            </w:pPr>
            <w:r>
              <w:t>40</w:t>
            </w:r>
          </w:p>
        </w:tc>
        <w:tc>
          <w:tcPr>
            <w:tcW w:w="1230" w:type="dxa"/>
            <w:tcMar>
              <w:top w:w="100" w:type="dxa"/>
              <w:left w:w="100" w:type="dxa"/>
              <w:bottom w:w="100" w:type="dxa"/>
              <w:right w:w="100" w:type="dxa"/>
            </w:tcMar>
            <w:vAlign w:val="center"/>
          </w:tcPr>
          <w:p w14:paraId="0BCCD831" w14:textId="77777777" w:rsidR="00577B53" w:rsidRDefault="00C27D64">
            <w:pPr>
              <w:pStyle w:val="normal0"/>
              <w:widowControl w:val="0"/>
              <w:spacing w:line="240" w:lineRule="auto"/>
              <w:jc w:val="center"/>
            </w:pPr>
            <w:r>
              <w:t>44</w:t>
            </w:r>
          </w:p>
        </w:tc>
        <w:tc>
          <w:tcPr>
            <w:tcW w:w="1455" w:type="dxa"/>
            <w:tcMar>
              <w:top w:w="100" w:type="dxa"/>
              <w:left w:w="100" w:type="dxa"/>
              <w:bottom w:w="100" w:type="dxa"/>
              <w:right w:w="100" w:type="dxa"/>
            </w:tcMar>
            <w:vAlign w:val="center"/>
          </w:tcPr>
          <w:p w14:paraId="4C8E89DF" w14:textId="77777777" w:rsidR="00577B53" w:rsidRDefault="00C27D64">
            <w:pPr>
              <w:pStyle w:val="normal0"/>
              <w:widowControl w:val="0"/>
              <w:spacing w:line="240" w:lineRule="auto"/>
              <w:jc w:val="center"/>
            </w:pPr>
            <w:r>
              <w:t>11</w:t>
            </w:r>
          </w:p>
        </w:tc>
      </w:tr>
      <w:tr w:rsidR="00577B53" w14:paraId="701A80A8" w14:textId="77777777">
        <w:tc>
          <w:tcPr>
            <w:tcW w:w="1230" w:type="dxa"/>
            <w:tcMar>
              <w:top w:w="100" w:type="dxa"/>
              <w:left w:w="100" w:type="dxa"/>
              <w:bottom w:w="100" w:type="dxa"/>
              <w:right w:w="100" w:type="dxa"/>
            </w:tcMar>
            <w:vAlign w:val="center"/>
          </w:tcPr>
          <w:p w14:paraId="65D270FF" w14:textId="77777777" w:rsidR="00577B53" w:rsidRDefault="00C27D64">
            <w:pPr>
              <w:pStyle w:val="normal0"/>
              <w:widowControl w:val="0"/>
              <w:spacing w:line="240" w:lineRule="auto"/>
              <w:jc w:val="center"/>
            </w:pPr>
            <w:r>
              <w:t>88</w:t>
            </w:r>
          </w:p>
        </w:tc>
        <w:tc>
          <w:tcPr>
            <w:tcW w:w="1245" w:type="dxa"/>
            <w:tcMar>
              <w:top w:w="100" w:type="dxa"/>
              <w:left w:w="100" w:type="dxa"/>
              <w:bottom w:w="100" w:type="dxa"/>
              <w:right w:w="100" w:type="dxa"/>
            </w:tcMar>
            <w:vAlign w:val="center"/>
          </w:tcPr>
          <w:p w14:paraId="5545D5D4" w14:textId="77777777" w:rsidR="00577B53" w:rsidRDefault="00C27D64">
            <w:pPr>
              <w:pStyle w:val="normal0"/>
              <w:widowControl w:val="0"/>
              <w:spacing w:line="240" w:lineRule="auto"/>
              <w:jc w:val="center"/>
            </w:pPr>
            <w:r>
              <w:t>92</w:t>
            </w:r>
          </w:p>
        </w:tc>
        <w:tc>
          <w:tcPr>
            <w:tcW w:w="1365" w:type="dxa"/>
            <w:tcMar>
              <w:top w:w="100" w:type="dxa"/>
              <w:left w:w="100" w:type="dxa"/>
              <w:bottom w:w="100" w:type="dxa"/>
              <w:right w:w="100" w:type="dxa"/>
            </w:tcMar>
            <w:vAlign w:val="center"/>
          </w:tcPr>
          <w:p w14:paraId="73291522" w14:textId="77777777" w:rsidR="00577B53" w:rsidRDefault="00C27D64">
            <w:pPr>
              <w:pStyle w:val="normal0"/>
              <w:widowControl w:val="0"/>
              <w:spacing w:line="240" w:lineRule="auto"/>
              <w:jc w:val="center"/>
            </w:pPr>
            <w:r>
              <w:t>23</w:t>
            </w:r>
          </w:p>
        </w:tc>
        <w:tc>
          <w:tcPr>
            <w:tcW w:w="1710" w:type="dxa"/>
            <w:tcBorders>
              <w:top w:val="nil"/>
              <w:bottom w:val="nil"/>
            </w:tcBorders>
            <w:tcMar>
              <w:top w:w="100" w:type="dxa"/>
              <w:left w:w="100" w:type="dxa"/>
              <w:bottom w:w="100" w:type="dxa"/>
              <w:right w:w="100" w:type="dxa"/>
            </w:tcMar>
            <w:vAlign w:val="center"/>
          </w:tcPr>
          <w:p w14:paraId="0A1CA181" w14:textId="77777777" w:rsidR="00577B53" w:rsidRDefault="00577B53">
            <w:pPr>
              <w:pStyle w:val="normal0"/>
              <w:widowControl w:val="0"/>
              <w:spacing w:line="240" w:lineRule="auto"/>
              <w:jc w:val="center"/>
            </w:pPr>
          </w:p>
        </w:tc>
        <w:tc>
          <w:tcPr>
            <w:tcW w:w="1200" w:type="dxa"/>
            <w:tcMar>
              <w:top w:w="100" w:type="dxa"/>
              <w:left w:w="100" w:type="dxa"/>
              <w:bottom w:w="100" w:type="dxa"/>
              <w:right w:w="100" w:type="dxa"/>
            </w:tcMar>
            <w:vAlign w:val="center"/>
          </w:tcPr>
          <w:p w14:paraId="076C97ED" w14:textId="77777777" w:rsidR="00577B53" w:rsidRDefault="00C27D64">
            <w:pPr>
              <w:pStyle w:val="normal0"/>
              <w:widowControl w:val="0"/>
              <w:spacing w:line="240" w:lineRule="auto"/>
              <w:jc w:val="center"/>
            </w:pPr>
            <w:r>
              <w:t>36</w:t>
            </w:r>
          </w:p>
        </w:tc>
        <w:tc>
          <w:tcPr>
            <w:tcW w:w="1230" w:type="dxa"/>
            <w:tcMar>
              <w:top w:w="100" w:type="dxa"/>
              <w:left w:w="100" w:type="dxa"/>
              <w:bottom w:w="100" w:type="dxa"/>
              <w:right w:w="100" w:type="dxa"/>
            </w:tcMar>
            <w:vAlign w:val="center"/>
          </w:tcPr>
          <w:p w14:paraId="6C0D0C34" w14:textId="77777777" w:rsidR="00577B53" w:rsidRDefault="00C27D64">
            <w:pPr>
              <w:pStyle w:val="normal0"/>
              <w:widowControl w:val="0"/>
              <w:spacing w:line="240" w:lineRule="auto"/>
              <w:jc w:val="center"/>
            </w:pPr>
            <w:r>
              <w:t>40</w:t>
            </w:r>
          </w:p>
        </w:tc>
        <w:tc>
          <w:tcPr>
            <w:tcW w:w="1455" w:type="dxa"/>
            <w:tcMar>
              <w:top w:w="100" w:type="dxa"/>
              <w:left w:w="100" w:type="dxa"/>
              <w:bottom w:w="100" w:type="dxa"/>
              <w:right w:w="100" w:type="dxa"/>
            </w:tcMar>
            <w:vAlign w:val="center"/>
          </w:tcPr>
          <w:p w14:paraId="4B9A0E11" w14:textId="77777777" w:rsidR="00577B53" w:rsidRDefault="00C27D64">
            <w:pPr>
              <w:pStyle w:val="normal0"/>
              <w:widowControl w:val="0"/>
              <w:spacing w:line="240" w:lineRule="auto"/>
              <w:jc w:val="center"/>
            </w:pPr>
            <w:r>
              <w:t>10</w:t>
            </w:r>
          </w:p>
        </w:tc>
      </w:tr>
      <w:tr w:rsidR="00577B53" w14:paraId="4A861A9C" w14:textId="77777777">
        <w:tc>
          <w:tcPr>
            <w:tcW w:w="1230" w:type="dxa"/>
            <w:tcMar>
              <w:top w:w="100" w:type="dxa"/>
              <w:left w:w="100" w:type="dxa"/>
              <w:bottom w:w="100" w:type="dxa"/>
              <w:right w:w="100" w:type="dxa"/>
            </w:tcMar>
            <w:vAlign w:val="center"/>
          </w:tcPr>
          <w:p w14:paraId="43C6AF1B" w14:textId="77777777" w:rsidR="00577B53" w:rsidRDefault="00C27D64">
            <w:pPr>
              <w:pStyle w:val="normal0"/>
              <w:widowControl w:val="0"/>
              <w:spacing w:line="240" w:lineRule="auto"/>
              <w:jc w:val="center"/>
            </w:pPr>
            <w:r>
              <w:t>84</w:t>
            </w:r>
          </w:p>
        </w:tc>
        <w:tc>
          <w:tcPr>
            <w:tcW w:w="1245" w:type="dxa"/>
            <w:tcMar>
              <w:top w:w="100" w:type="dxa"/>
              <w:left w:w="100" w:type="dxa"/>
              <w:bottom w:w="100" w:type="dxa"/>
              <w:right w:w="100" w:type="dxa"/>
            </w:tcMar>
            <w:vAlign w:val="center"/>
          </w:tcPr>
          <w:p w14:paraId="3838853D" w14:textId="77777777" w:rsidR="00577B53" w:rsidRDefault="00C27D64">
            <w:pPr>
              <w:pStyle w:val="normal0"/>
              <w:widowControl w:val="0"/>
              <w:spacing w:line="240" w:lineRule="auto"/>
              <w:jc w:val="center"/>
            </w:pPr>
            <w:r>
              <w:t>88</w:t>
            </w:r>
          </w:p>
        </w:tc>
        <w:tc>
          <w:tcPr>
            <w:tcW w:w="1365" w:type="dxa"/>
            <w:tcMar>
              <w:top w:w="100" w:type="dxa"/>
              <w:left w:w="100" w:type="dxa"/>
              <w:bottom w:w="100" w:type="dxa"/>
              <w:right w:w="100" w:type="dxa"/>
            </w:tcMar>
            <w:vAlign w:val="center"/>
          </w:tcPr>
          <w:p w14:paraId="6B5C343F" w14:textId="77777777" w:rsidR="00577B53" w:rsidRDefault="00C27D64">
            <w:pPr>
              <w:pStyle w:val="normal0"/>
              <w:widowControl w:val="0"/>
              <w:spacing w:line="240" w:lineRule="auto"/>
              <w:jc w:val="center"/>
            </w:pPr>
            <w:r>
              <w:t>22</w:t>
            </w:r>
          </w:p>
        </w:tc>
        <w:tc>
          <w:tcPr>
            <w:tcW w:w="1710" w:type="dxa"/>
            <w:tcBorders>
              <w:top w:val="nil"/>
              <w:bottom w:val="nil"/>
            </w:tcBorders>
            <w:tcMar>
              <w:top w:w="100" w:type="dxa"/>
              <w:left w:w="100" w:type="dxa"/>
              <w:bottom w:w="100" w:type="dxa"/>
              <w:right w:w="100" w:type="dxa"/>
            </w:tcMar>
            <w:vAlign w:val="center"/>
          </w:tcPr>
          <w:p w14:paraId="4B4D52D7" w14:textId="77777777" w:rsidR="00577B53" w:rsidRDefault="00577B53">
            <w:pPr>
              <w:pStyle w:val="normal0"/>
              <w:widowControl w:val="0"/>
              <w:spacing w:line="240" w:lineRule="auto"/>
              <w:jc w:val="center"/>
            </w:pPr>
          </w:p>
        </w:tc>
        <w:tc>
          <w:tcPr>
            <w:tcW w:w="1200" w:type="dxa"/>
            <w:tcMar>
              <w:top w:w="100" w:type="dxa"/>
              <w:left w:w="100" w:type="dxa"/>
              <w:bottom w:w="100" w:type="dxa"/>
              <w:right w:w="100" w:type="dxa"/>
            </w:tcMar>
            <w:vAlign w:val="center"/>
          </w:tcPr>
          <w:p w14:paraId="706FE8FB" w14:textId="77777777" w:rsidR="00577B53" w:rsidRDefault="00C27D64">
            <w:pPr>
              <w:pStyle w:val="normal0"/>
              <w:widowControl w:val="0"/>
              <w:spacing w:line="240" w:lineRule="auto"/>
              <w:jc w:val="center"/>
            </w:pPr>
            <w:r>
              <w:t>32</w:t>
            </w:r>
          </w:p>
        </w:tc>
        <w:tc>
          <w:tcPr>
            <w:tcW w:w="1230" w:type="dxa"/>
            <w:tcMar>
              <w:top w:w="100" w:type="dxa"/>
              <w:left w:w="100" w:type="dxa"/>
              <w:bottom w:w="100" w:type="dxa"/>
              <w:right w:w="100" w:type="dxa"/>
            </w:tcMar>
            <w:vAlign w:val="center"/>
          </w:tcPr>
          <w:p w14:paraId="1049CE16" w14:textId="77777777" w:rsidR="00577B53" w:rsidRDefault="00C27D64">
            <w:pPr>
              <w:pStyle w:val="normal0"/>
              <w:widowControl w:val="0"/>
              <w:spacing w:line="240" w:lineRule="auto"/>
              <w:jc w:val="center"/>
            </w:pPr>
            <w:r>
              <w:t>36</w:t>
            </w:r>
          </w:p>
        </w:tc>
        <w:tc>
          <w:tcPr>
            <w:tcW w:w="1455" w:type="dxa"/>
            <w:tcMar>
              <w:top w:w="100" w:type="dxa"/>
              <w:left w:w="100" w:type="dxa"/>
              <w:bottom w:w="100" w:type="dxa"/>
              <w:right w:w="100" w:type="dxa"/>
            </w:tcMar>
            <w:vAlign w:val="center"/>
          </w:tcPr>
          <w:p w14:paraId="7A73E0DB" w14:textId="77777777" w:rsidR="00577B53" w:rsidRDefault="00C27D64">
            <w:pPr>
              <w:pStyle w:val="normal0"/>
              <w:widowControl w:val="0"/>
              <w:spacing w:line="240" w:lineRule="auto"/>
              <w:jc w:val="center"/>
            </w:pPr>
            <w:r>
              <w:t>9</w:t>
            </w:r>
          </w:p>
        </w:tc>
      </w:tr>
      <w:tr w:rsidR="00577B53" w14:paraId="1E359261" w14:textId="77777777">
        <w:tc>
          <w:tcPr>
            <w:tcW w:w="1230" w:type="dxa"/>
            <w:tcMar>
              <w:top w:w="100" w:type="dxa"/>
              <w:left w:w="100" w:type="dxa"/>
              <w:bottom w:w="100" w:type="dxa"/>
              <w:right w:w="100" w:type="dxa"/>
            </w:tcMar>
            <w:vAlign w:val="center"/>
          </w:tcPr>
          <w:p w14:paraId="15B79FA0" w14:textId="77777777" w:rsidR="00577B53" w:rsidRDefault="00C27D64">
            <w:pPr>
              <w:pStyle w:val="normal0"/>
              <w:widowControl w:val="0"/>
              <w:spacing w:line="240" w:lineRule="auto"/>
              <w:jc w:val="center"/>
            </w:pPr>
            <w:r>
              <w:t>80</w:t>
            </w:r>
          </w:p>
        </w:tc>
        <w:tc>
          <w:tcPr>
            <w:tcW w:w="1245" w:type="dxa"/>
            <w:tcMar>
              <w:top w:w="100" w:type="dxa"/>
              <w:left w:w="100" w:type="dxa"/>
              <w:bottom w:w="100" w:type="dxa"/>
              <w:right w:w="100" w:type="dxa"/>
            </w:tcMar>
            <w:vAlign w:val="center"/>
          </w:tcPr>
          <w:p w14:paraId="40738582" w14:textId="77777777" w:rsidR="00577B53" w:rsidRDefault="00C27D64">
            <w:pPr>
              <w:pStyle w:val="normal0"/>
              <w:widowControl w:val="0"/>
              <w:spacing w:line="240" w:lineRule="auto"/>
              <w:jc w:val="center"/>
            </w:pPr>
            <w:r>
              <w:t>84</w:t>
            </w:r>
          </w:p>
        </w:tc>
        <w:tc>
          <w:tcPr>
            <w:tcW w:w="1365" w:type="dxa"/>
            <w:tcMar>
              <w:top w:w="100" w:type="dxa"/>
              <w:left w:w="100" w:type="dxa"/>
              <w:bottom w:w="100" w:type="dxa"/>
              <w:right w:w="100" w:type="dxa"/>
            </w:tcMar>
            <w:vAlign w:val="center"/>
          </w:tcPr>
          <w:p w14:paraId="2AD59189" w14:textId="77777777" w:rsidR="00577B53" w:rsidRDefault="00C27D64">
            <w:pPr>
              <w:pStyle w:val="normal0"/>
              <w:widowControl w:val="0"/>
              <w:spacing w:line="240" w:lineRule="auto"/>
              <w:jc w:val="center"/>
            </w:pPr>
            <w:r>
              <w:t>21</w:t>
            </w:r>
          </w:p>
        </w:tc>
        <w:tc>
          <w:tcPr>
            <w:tcW w:w="1710" w:type="dxa"/>
            <w:tcBorders>
              <w:top w:val="nil"/>
              <w:bottom w:val="nil"/>
            </w:tcBorders>
            <w:tcMar>
              <w:top w:w="100" w:type="dxa"/>
              <w:left w:w="100" w:type="dxa"/>
              <w:bottom w:w="100" w:type="dxa"/>
              <w:right w:w="100" w:type="dxa"/>
            </w:tcMar>
            <w:vAlign w:val="center"/>
          </w:tcPr>
          <w:p w14:paraId="5E3D0F48" w14:textId="77777777" w:rsidR="00577B53" w:rsidRDefault="00577B53">
            <w:pPr>
              <w:pStyle w:val="normal0"/>
              <w:widowControl w:val="0"/>
              <w:spacing w:line="240" w:lineRule="auto"/>
              <w:jc w:val="center"/>
            </w:pPr>
          </w:p>
        </w:tc>
        <w:tc>
          <w:tcPr>
            <w:tcW w:w="1200" w:type="dxa"/>
            <w:tcMar>
              <w:top w:w="100" w:type="dxa"/>
              <w:left w:w="100" w:type="dxa"/>
              <w:bottom w:w="100" w:type="dxa"/>
              <w:right w:w="100" w:type="dxa"/>
            </w:tcMar>
            <w:vAlign w:val="center"/>
          </w:tcPr>
          <w:p w14:paraId="6780272D" w14:textId="77777777" w:rsidR="00577B53" w:rsidRDefault="00C27D64">
            <w:pPr>
              <w:pStyle w:val="normal0"/>
              <w:widowControl w:val="0"/>
              <w:spacing w:line="240" w:lineRule="auto"/>
              <w:jc w:val="center"/>
            </w:pPr>
            <w:r>
              <w:t>28</w:t>
            </w:r>
          </w:p>
        </w:tc>
        <w:tc>
          <w:tcPr>
            <w:tcW w:w="1230" w:type="dxa"/>
            <w:tcMar>
              <w:top w:w="100" w:type="dxa"/>
              <w:left w:w="100" w:type="dxa"/>
              <w:bottom w:w="100" w:type="dxa"/>
              <w:right w:w="100" w:type="dxa"/>
            </w:tcMar>
            <w:vAlign w:val="center"/>
          </w:tcPr>
          <w:p w14:paraId="3A6BEA60" w14:textId="77777777" w:rsidR="00577B53" w:rsidRDefault="00C27D64">
            <w:pPr>
              <w:pStyle w:val="normal0"/>
              <w:widowControl w:val="0"/>
              <w:spacing w:line="240" w:lineRule="auto"/>
              <w:jc w:val="center"/>
            </w:pPr>
            <w:r>
              <w:t>32</w:t>
            </w:r>
          </w:p>
        </w:tc>
        <w:tc>
          <w:tcPr>
            <w:tcW w:w="1455" w:type="dxa"/>
            <w:tcMar>
              <w:top w:w="100" w:type="dxa"/>
              <w:left w:w="100" w:type="dxa"/>
              <w:bottom w:w="100" w:type="dxa"/>
              <w:right w:w="100" w:type="dxa"/>
            </w:tcMar>
            <w:vAlign w:val="center"/>
          </w:tcPr>
          <w:p w14:paraId="590B3679" w14:textId="77777777" w:rsidR="00577B53" w:rsidRDefault="00C27D64">
            <w:pPr>
              <w:pStyle w:val="normal0"/>
              <w:widowControl w:val="0"/>
              <w:spacing w:line="240" w:lineRule="auto"/>
              <w:jc w:val="center"/>
            </w:pPr>
            <w:r>
              <w:t>8</w:t>
            </w:r>
          </w:p>
        </w:tc>
      </w:tr>
      <w:tr w:rsidR="00577B53" w14:paraId="6783BFBC" w14:textId="77777777">
        <w:tc>
          <w:tcPr>
            <w:tcW w:w="1230" w:type="dxa"/>
            <w:tcMar>
              <w:top w:w="100" w:type="dxa"/>
              <w:left w:w="100" w:type="dxa"/>
              <w:bottom w:w="100" w:type="dxa"/>
              <w:right w:w="100" w:type="dxa"/>
            </w:tcMar>
            <w:vAlign w:val="center"/>
          </w:tcPr>
          <w:p w14:paraId="083D6597" w14:textId="77777777" w:rsidR="00577B53" w:rsidRDefault="00C27D64">
            <w:pPr>
              <w:pStyle w:val="normal0"/>
              <w:widowControl w:val="0"/>
              <w:spacing w:line="240" w:lineRule="auto"/>
              <w:jc w:val="center"/>
            </w:pPr>
            <w:r>
              <w:t>76</w:t>
            </w:r>
          </w:p>
        </w:tc>
        <w:tc>
          <w:tcPr>
            <w:tcW w:w="1245" w:type="dxa"/>
            <w:tcMar>
              <w:top w:w="100" w:type="dxa"/>
              <w:left w:w="100" w:type="dxa"/>
              <w:bottom w:w="100" w:type="dxa"/>
              <w:right w:w="100" w:type="dxa"/>
            </w:tcMar>
            <w:vAlign w:val="center"/>
          </w:tcPr>
          <w:p w14:paraId="366EF6DF" w14:textId="77777777" w:rsidR="00577B53" w:rsidRDefault="00C27D64">
            <w:pPr>
              <w:pStyle w:val="normal0"/>
              <w:widowControl w:val="0"/>
              <w:spacing w:line="240" w:lineRule="auto"/>
              <w:jc w:val="center"/>
            </w:pPr>
            <w:r>
              <w:t>80</w:t>
            </w:r>
          </w:p>
        </w:tc>
        <w:tc>
          <w:tcPr>
            <w:tcW w:w="1365" w:type="dxa"/>
            <w:tcMar>
              <w:top w:w="100" w:type="dxa"/>
              <w:left w:w="100" w:type="dxa"/>
              <w:bottom w:w="100" w:type="dxa"/>
              <w:right w:w="100" w:type="dxa"/>
            </w:tcMar>
            <w:vAlign w:val="center"/>
          </w:tcPr>
          <w:p w14:paraId="5A019882" w14:textId="77777777" w:rsidR="00577B53" w:rsidRDefault="00C27D64">
            <w:pPr>
              <w:pStyle w:val="normal0"/>
              <w:widowControl w:val="0"/>
              <w:spacing w:line="240" w:lineRule="auto"/>
              <w:jc w:val="center"/>
            </w:pPr>
            <w:r>
              <w:t>20</w:t>
            </w:r>
          </w:p>
        </w:tc>
        <w:tc>
          <w:tcPr>
            <w:tcW w:w="1710" w:type="dxa"/>
            <w:tcBorders>
              <w:top w:val="nil"/>
              <w:bottom w:val="nil"/>
            </w:tcBorders>
            <w:tcMar>
              <w:top w:w="100" w:type="dxa"/>
              <w:left w:w="100" w:type="dxa"/>
              <w:bottom w:w="100" w:type="dxa"/>
              <w:right w:w="100" w:type="dxa"/>
            </w:tcMar>
            <w:vAlign w:val="center"/>
          </w:tcPr>
          <w:p w14:paraId="0A44A8B8" w14:textId="77777777" w:rsidR="00577B53" w:rsidRDefault="00577B53">
            <w:pPr>
              <w:pStyle w:val="normal0"/>
              <w:widowControl w:val="0"/>
              <w:spacing w:line="240" w:lineRule="auto"/>
              <w:jc w:val="center"/>
            </w:pPr>
          </w:p>
        </w:tc>
        <w:tc>
          <w:tcPr>
            <w:tcW w:w="1200" w:type="dxa"/>
            <w:tcMar>
              <w:top w:w="100" w:type="dxa"/>
              <w:left w:w="100" w:type="dxa"/>
              <w:bottom w:w="100" w:type="dxa"/>
              <w:right w:w="100" w:type="dxa"/>
            </w:tcMar>
            <w:vAlign w:val="center"/>
          </w:tcPr>
          <w:p w14:paraId="07094721" w14:textId="77777777" w:rsidR="00577B53" w:rsidRDefault="00C27D64">
            <w:pPr>
              <w:pStyle w:val="normal0"/>
              <w:widowControl w:val="0"/>
              <w:spacing w:line="240" w:lineRule="auto"/>
              <w:jc w:val="center"/>
            </w:pPr>
            <w:r>
              <w:t>24</w:t>
            </w:r>
          </w:p>
        </w:tc>
        <w:tc>
          <w:tcPr>
            <w:tcW w:w="1230" w:type="dxa"/>
            <w:tcMar>
              <w:top w:w="100" w:type="dxa"/>
              <w:left w:w="100" w:type="dxa"/>
              <w:bottom w:w="100" w:type="dxa"/>
              <w:right w:w="100" w:type="dxa"/>
            </w:tcMar>
            <w:vAlign w:val="center"/>
          </w:tcPr>
          <w:p w14:paraId="09FA7DE1" w14:textId="77777777" w:rsidR="00577B53" w:rsidRDefault="00C27D64">
            <w:pPr>
              <w:pStyle w:val="normal0"/>
              <w:widowControl w:val="0"/>
              <w:spacing w:line="240" w:lineRule="auto"/>
              <w:jc w:val="center"/>
            </w:pPr>
            <w:r>
              <w:t>28</w:t>
            </w:r>
          </w:p>
        </w:tc>
        <w:tc>
          <w:tcPr>
            <w:tcW w:w="1455" w:type="dxa"/>
            <w:tcMar>
              <w:top w:w="100" w:type="dxa"/>
              <w:left w:w="100" w:type="dxa"/>
              <w:bottom w:w="100" w:type="dxa"/>
              <w:right w:w="100" w:type="dxa"/>
            </w:tcMar>
            <w:vAlign w:val="center"/>
          </w:tcPr>
          <w:p w14:paraId="69BBDFC0" w14:textId="77777777" w:rsidR="00577B53" w:rsidRDefault="00C27D64">
            <w:pPr>
              <w:pStyle w:val="normal0"/>
              <w:widowControl w:val="0"/>
              <w:spacing w:line="240" w:lineRule="auto"/>
              <w:jc w:val="center"/>
            </w:pPr>
            <w:r>
              <w:t>7</w:t>
            </w:r>
          </w:p>
        </w:tc>
      </w:tr>
      <w:tr w:rsidR="00577B53" w14:paraId="5BF206A2" w14:textId="77777777">
        <w:tc>
          <w:tcPr>
            <w:tcW w:w="1230" w:type="dxa"/>
            <w:tcMar>
              <w:top w:w="100" w:type="dxa"/>
              <w:left w:w="100" w:type="dxa"/>
              <w:bottom w:w="100" w:type="dxa"/>
              <w:right w:w="100" w:type="dxa"/>
            </w:tcMar>
            <w:vAlign w:val="center"/>
          </w:tcPr>
          <w:p w14:paraId="445F7A38" w14:textId="77777777" w:rsidR="00577B53" w:rsidRDefault="00C27D64">
            <w:pPr>
              <w:pStyle w:val="normal0"/>
              <w:widowControl w:val="0"/>
              <w:spacing w:line="240" w:lineRule="auto"/>
              <w:jc w:val="center"/>
            </w:pPr>
            <w:r>
              <w:t>72</w:t>
            </w:r>
          </w:p>
        </w:tc>
        <w:tc>
          <w:tcPr>
            <w:tcW w:w="1245" w:type="dxa"/>
            <w:tcMar>
              <w:top w:w="100" w:type="dxa"/>
              <w:left w:w="100" w:type="dxa"/>
              <w:bottom w:w="100" w:type="dxa"/>
              <w:right w:w="100" w:type="dxa"/>
            </w:tcMar>
            <w:vAlign w:val="center"/>
          </w:tcPr>
          <w:p w14:paraId="1DE097E7" w14:textId="77777777" w:rsidR="00577B53" w:rsidRDefault="00C27D64">
            <w:pPr>
              <w:pStyle w:val="normal0"/>
              <w:widowControl w:val="0"/>
              <w:spacing w:line="240" w:lineRule="auto"/>
              <w:jc w:val="center"/>
            </w:pPr>
            <w:r>
              <w:t>76</w:t>
            </w:r>
          </w:p>
        </w:tc>
        <w:tc>
          <w:tcPr>
            <w:tcW w:w="1365" w:type="dxa"/>
            <w:tcMar>
              <w:top w:w="100" w:type="dxa"/>
              <w:left w:w="100" w:type="dxa"/>
              <w:bottom w:w="100" w:type="dxa"/>
              <w:right w:w="100" w:type="dxa"/>
            </w:tcMar>
            <w:vAlign w:val="center"/>
          </w:tcPr>
          <w:p w14:paraId="4C303F6D" w14:textId="77777777" w:rsidR="00577B53" w:rsidRDefault="00C27D64">
            <w:pPr>
              <w:pStyle w:val="normal0"/>
              <w:widowControl w:val="0"/>
              <w:spacing w:line="240" w:lineRule="auto"/>
              <w:jc w:val="center"/>
            </w:pPr>
            <w:r>
              <w:t>19</w:t>
            </w:r>
          </w:p>
        </w:tc>
        <w:tc>
          <w:tcPr>
            <w:tcW w:w="1710" w:type="dxa"/>
            <w:tcBorders>
              <w:top w:val="nil"/>
              <w:bottom w:val="nil"/>
            </w:tcBorders>
            <w:tcMar>
              <w:top w:w="100" w:type="dxa"/>
              <w:left w:w="100" w:type="dxa"/>
              <w:bottom w:w="100" w:type="dxa"/>
              <w:right w:w="100" w:type="dxa"/>
            </w:tcMar>
            <w:vAlign w:val="center"/>
          </w:tcPr>
          <w:p w14:paraId="71FE0F83" w14:textId="77777777" w:rsidR="00577B53" w:rsidRDefault="00577B53">
            <w:pPr>
              <w:pStyle w:val="normal0"/>
              <w:widowControl w:val="0"/>
              <w:spacing w:line="240" w:lineRule="auto"/>
              <w:jc w:val="center"/>
            </w:pPr>
          </w:p>
        </w:tc>
        <w:tc>
          <w:tcPr>
            <w:tcW w:w="1200" w:type="dxa"/>
            <w:tcMar>
              <w:top w:w="100" w:type="dxa"/>
              <w:left w:w="100" w:type="dxa"/>
              <w:bottom w:w="100" w:type="dxa"/>
              <w:right w:w="100" w:type="dxa"/>
            </w:tcMar>
            <w:vAlign w:val="center"/>
          </w:tcPr>
          <w:p w14:paraId="3AA60967" w14:textId="77777777" w:rsidR="00577B53" w:rsidRDefault="00C27D64">
            <w:pPr>
              <w:pStyle w:val="normal0"/>
              <w:widowControl w:val="0"/>
              <w:spacing w:line="240" w:lineRule="auto"/>
              <w:jc w:val="center"/>
            </w:pPr>
            <w:r>
              <w:t>20</w:t>
            </w:r>
          </w:p>
        </w:tc>
        <w:tc>
          <w:tcPr>
            <w:tcW w:w="1230" w:type="dxa"/>
            <w:tcMar>
              <w:top w:w="100" w:type="dxa"/>
              <w:left w:w="100" w:type="dxa"/>
              <w:bottom w:w="100" w:type="dxa"/>
              <w:right w:w="100" w:type="dxa"/>
            </w:tcMar>
            <w:vAlign w:val="center"/>
          </w:tcPr>
          <w:p w14:paraId="0EC39527" w14:textId="77777777" w:rsidR="00577B53" w:rsidRDefault="00C27D64">
            <w:pPr>
              <w:pStyle w:val="normal0"/>
              <w:widowControl w:val="0"/>
              <w:spacing w:line="240" w:lineRule="auto"/>
              <w:jc w:val="center"/>
            </w:pPr>
            <w:r>
              <w:t>24</w:t>
            </w:r>
          </w:p>
        </w:tc>
        <w:tc>
          <w:tcPr>
            <w:tcW w:w="1455" w:type="dxa"/>
            <w:tcMar>
              <w:top w:w="100" w:type="dxa"/>
              <w:left w:w="100" w:type="dxa"/>
              <w:bottom w:w="100" w:type="dxa"/>
              <w:right w:w="100" w:type="dxa"/>
            </w:tcMar>
            <w:vAlign w:val="center"/>
          </w:tcPr>
          <w:p w14:paraId="003DBFC1" w14:textId="77777777" w:rsidR="00577B53" w:rsidRDefault="00C27D64">
            <w:pPr>
              <w:pStyle w:val="normal0"/>
              <w:widowControl w:val="0"/>
              <w:spacing w:line="240" w:lineRule="auto"/>
              <w:jc w:val="center"/>
            </w:pPr>
            <w:r>
              <w:t>6</w:t>
            </w:r>
          </w:p>
        </w:tc>
      </w:tr>
      <w:tr w:rsidR="00577B53" w14:paraId="4CC4F0CC" w14:textId="77777777">
        <w:tc>
          <w:tcPr>
            <w:tcW w:w="1230" w:type="dxa"/>
            <w:tcMar>
              <w:top w:w="100" w:type="dxa"/>
              <w:left w:w="100" w:type="dxa"/>
              <w:bottom w:w="100" w:type="dxa"/>
              <w:right w:w="100" w:type="dxa"/>
            </w:tcMar>
            <w:vAlign w:val="center"/>
          </w:tcPr>
          <w:p w14:paraId="6EF5658B" w14:textId="77777777" w:rsidR="00577B53" w:rsidRDefault="00C27D64">
            <w:pPr>
              <w:pStyle w:val="normal0"/>
              <w:widowControl w:val="0"/>
              <w:spacing w:line="240" w:lineRule="auto"/>
              <w:jc w:val="center"/>
            </w:pPr>
            <w:r>
              <w:t>68</w:t>
            </w:r>
          </w:p>
        </w:tc>
        <w:tc>
          <w:tcPr>
            <w:tcW w:w="1245" w:type="dxa"/>
            <w:tcMar>
              <w:top w:w="100" w:type="dxa"/>
              <w:left w:w="100" w:type="dxa"/>
              <w:bottom w:w="100" w:type="dxa"/>
              <w:right w:w="100" w:type="dxa"/>
            </w:tcMar>
            <w:vAlign w:val="center"/>
          </w:tcPr>
          <w:p w14:paraId="574574EA" w14:textId="77777777" w:rsidR="00577B53" w:rsidRDefault="00C27D64">
            <w:pPr>
              <w:pStyle w:val="normal0"/>
              <w:widowControl w:val="0"/>
              <w:spacing w:line="240" w:lineRule="auto"/>
              <w:jc w:val="center"/>
            </w:pPr>
            <w:r>
              <w:t>72</w:t>
            </w:r>
          </w:p>
        </w:tc>
        <w:tc>
          <w:tcPr>
            <w:tcW w:w="1365" w:type="dxa"/>
            <w:tcMar>
              <w:top w:w="100" w:type="dxa"/>
              <w:left w:w="100" w:type="dxa"/>
              <w:bottom w:w="100" w:type="dxa"/>
              <w:right w:w="100" w:type="dxa"/>
            </w:tcMar>
            <w:vAlign w:val="center"/>
          </w:tcPr>
          <w:p w14:paraId="1EA312BF" w14:textId="77777777" w:rsidR="00577B53" w:rsidRDefault="00C27D64">
            <w:pPr>
              <w:pStyle w:val="normal0"/>
              <w:widowControl w:val="0"/>
              <w:spacing w:line="240" w:lineRule="auto"/>
              <w:jc w:val="center"/>
            </w:pPr>
            <w:r>
              <w:t>18</w:t>
            </w:r>
          </w:p>
        </w:tc>
        <w:tc>
          <w:tcPr>
            <w:tcW w:w="1710" w:type="dxa"/>
            <w:tcBorders>
              <w:top w:val="nil"/>
              <w:bottom w:val="nil"/>
            </w:tcBorders>
            <w:tcMar>
              <w:top w:w="100" w:type="dxa"/>
              <w:left w:w="100" w:type="dxa"/>
              <w:bottom w:w="100" w:type="dxa"/>
              <w:right w:w="100" w:type="dxa"/>
            </w:tcMar>
            <w:vAlign w:val="center"/>
          </w:tcPr>
          <w:p w14:paraId="7112E5C7" w14:textId="77777777" w:rsidR="00577B53" w:rsidRDefault="00577B53">
            <w:pPr>
              <w:pStyle w:val="normal0"/>
              <w:widowControl w:val="0"/>
              <w:spacing w:line="240" w:lineRule="auto"/>
              <w:jc w:val="center"/>
            </w:pPr>
          </w:p>
        </w:tc>
        <w:tc>
          <w:tcPr>
            <w:tcW w:w="1200" w:type="dxa"/>
            <w:tcMar>
              <w:top w:w="100" w:type="dxa"/>
              <w:left w:w="100" w:type="dxa"/>
              <w:bottom w:w="100" w:type="dxa"/>
              <w:right w:w="100" w:type="dxa"/>
            </w:tcMar>
            <w:vAlign w:val="center"/>
          </w:tcPr>
          <w:p w14:paraId="7D05EC90" w14:textId="77777777" w:rsidR="00577B53" w:rsidRDefault="00C27D64">
            <w:pPr>
              <w:pStyle w:val="normal0"/>
              <w:widowControl w:val="0"/>
              <w:spacing w:line="240" w:lineRule="auto"/>
              <w:jc w:val="center"/>
            </w:pPr>
            <w:r>
              <w:t>16</w:t>
            </w:r>
          </w:p>
        </w:tc>
        <w:tc>
          <w:tcPr>
            <w:tcW w:w="1230" w:type="dxa"/>
            <w:tcMar>
              <w:top w:w="100" w:type="dxa"/>
              <w:left w:w="100" w:type="dxa"/>
              <w:bottom w:w="100" w:type="dxa"/>
              <w:right w:w="100" w:type="dxa"/>
            </w:tcMar>
            <w:vAlign w:val="center"/>
          </w:tcPr>
          <w:p w14:paraId="67515875" w14:textId="77777777" w:rsidR="00577B53" w:rsidRDefault="00C27D64">
            <w:pPr>
              <w:pStyle w:val="normal0"/>
              <w:widowControl w:val="0"/>
              <w:spacing w:line="240" w:lineRule="auto"/>
              <w:jc w:val="center"/>
            </w:pPr>
            <w:r>
              <w:t>20</w:t>
            </w:r>
          </w:p>
        </w:tc>
        <w:tc>
          <w:tcPr>
            <w:tcW w:w="1455" w:type="dxa"/>
            <w:tcMar>
              <w:top w:w="100" w:type="dxa"/>
              <w:left w:w="100" w:type="dxa"/>
              <w:bottom w:w="100" w:type="dxa"/>
              <w:right w:w="100" w:type="dxa"/>
            </w:tcMar>
            <w:vAlign w:val="center"/>
          </w:tcPr>
          <w:p w14:paraId="36BB5BFE" w14:textId="77777777" w:rsidR="00577B53" w:rsidRDefault="00C27D64">
            <w:pPr>
              <w:pStyle w:val="normal0"/>
              <w:widowControl w:val="0"/>
              <w:spacing w:line="240" w:lineRule="auto"/>
              <w:jc w:val="center"/>
            </w:pPr>
            <w:r>
              <w:t>5</w:t>
            </w:r>
          </w:p>
        </w:tc>
      </w:tr>
      <w:tr w:rsidR="00577B53" w14:paraId="75E9441A" w14:textId="77777777">
        <w:tc>
          <w:tcPr>
            <w:tcW w:w="1230" w:type="dxa"/>
            <w:tcMar>
              <w:top w:w="100" w:type="dxa"/>
              <w:left w:w="100" w:type="dxa"/>
              <w:bottom w:w="100" w:type="dxa"/>
              <w:right w:w="100" w:type="dxa"/>
            </w:tcMar>
            <w:vAlign w:val="center"/>
          </w:tcPr>
          <w:p w14:paraId="3A568D90" w14:textId="77777777" w:rsidR="00577B53" w:rsidRDefault="00C27D64">
            <w:pPr>
              <w:pStyle w:val="normal0"/>
              <w:widowControl w:val="0"/>
              <w:spacing w:line="240" w:lineRule="auto"/>
              <w:jc w:val="center"/>
            </w:pPr>
            <w:r>
              <w:t>64</w:t>
            </w:r>
          </w:p>
        </w:tc>
        <w:tc>
          <w:tcPr>
            <w:tcW w:w="1245" w:type="dxa"/>
            <w:tcMar>
              <w:top w:w="100" w:type="dxa"/>
              <w:left w:w="100" w:type="dxa"/>
              <w:bottom w:w="100" w:type="dxa"/>
              <w:right w:w="100" w:type="dxa"/>
            </w:tcMar>
            <w:vAlign w:val="center"/>
          </w:tcPr>
          <w:p w14:paraId="2581A3C8" w14:textId="77777777" w:rsidR="00577B53" w:rsidRDefault="00C27D64">
            <w:pPr>
              <w:pStyle w:val="normal0"/>
              <w:widowControl w:val="0"/>
              <w:spacing w:line="240" w:lineRule="auto"/>
              <w:jc w:val="center"/>
            </w:pPr>
            <w:r>
              <w:t>68</w:t>
            </w:r>
          </w:p>
        </w:tc>
        <w:tc>
          <w:tcPr>
            <w:tcW w:w="1365" w:type="dxa"/>
            <w:tcMar>
              <w:top w:w="100" w:type="dxa"/>
              <w:left w:w="100" w:type="dxa"/>
              <w:bottom w:w="100" w:type="dxa"/>
              <w:right w:w="100" w:type="dxa"/>
            </w:tcMar>
            <w:vAlign w:val="center"/>
          </w:tcPr>
          <w:p w14:paraId="7974FAA8" w14:textId="77777777" w:rsidR="00577B53" w:rsidRDefault="00C27D64">
            <w:pPr>
              <w:pStyle w:val="normal0"/>
              <w:widowControl w:val="0"/>
              <w:spacing w:line="240" w:lineRule="auto"/>
              <w:jc w:val="center"/>
            </w:pPr>
            <w:r>
              <w:t>17</w:t>
            </w:r>
          </w:p>
        </w:tc>
        <w:tc>
          <w:tcPr>
            <w:tcW w:w="1710" w:type="dxa"/>
            <w:tcBorders>
              <w:top w:val="nil"/>
              <w:bottom w:val="nil"/>
            </w:tcBorders>
            <w:tcMar>
              <w:top w:w="100" w:type="dxa"/>
              <w:left w:w="100" w:type="dxa"/>
              <w:bottom w:w="100" w:type="dxa"/>
              <w:right w:w="100" w:type="dxa"/>
            </w:tcMar>
            <w:vAlign w:val="center"/>
          </w:tcPr>
          <w:p w14:paraId="17C0F86B" w14:textId="77777777" w:rsidR="00577B53" w:rsidRDefault="00577B53">
            <w:pPr>
              <w:pStyle w:val="normal0"/>
              <w:widowControl w:val="0"/>
              <w:spacing w:line="240" w:lineRule="auto"/>
              <w:jc w:val="center"/>
            </w:pPr>
          </w:p>
        </w:tc>
        <w:tc>
          <w:tcPr>
            <w:tcW w:w="1200" w:type="dxa"/>
            <w:tcMar>
              <w:top w:w="100" w:type="dxa"/>
              <w:left w:w="100" w:type="dxa"/>
              <w:bottom w:w="100" w:type="dxa"/>
              <w:right w:w="100" w:type="dxa"/>
            </w:tcMar>
            <w:vAlign w:val="center"/>
          </w:tcPr>
          <w:p w14:paraId="6106DE3C" w14:textId="77777777" w:rsidR="00577B53" w:rsidRDefault="00C27D64">
            <w:pPr>
              <w:pStyle w:val="normal0"/>
              <w:widowControl w:val="0"/>
              <w:spacing w:line="240" w:lineRule="auto"/>
              <w:jc w:val="center"/>
            </w:pPr>
            <w:r>
              <w:t>12</w:t>
            </w:r>
          </w:p>
        </w:tc>
        <w:tc>
          <w:tcPr>
            <w:tcW w:w="1230" w:type="dxa"/>
            <w:tcMar>
              <w:top w:w="100" w:type="dxa"/>
              <w:left w:w="100" w:type="dxa"/>
              <w:bottom w:w="100" w:type="dxa"/>
              <w:right w:w="100" w:type="dxa"/>
            </w:tcMar>
            <w:vAlign w:val="center"/>
          </w:tcPr>
          <w:p w14:paraId="5F889AEE" w14:textId="77777777" w:rsidR="00577B53" w:rsidRDefault="00C27D64">
            <w:pPr>
              <w:pStyle w:val="normal0"/>
              <w:widowControl w:val="0"/>
              <w:spacing w:line="240" w:lineRule="auto"/>
              <w:jc w:val="center"/>
            </w:pPr>
            <w:r>
              <w:t>16</w:t>
            </w:r>
          </w:p>
        </w:tc>
        <w:tc>
          <w:tcPr>
            <w:tcW w:w="1455" w:type="dxa"/>
            <w:tcMar>
              <w:top w:w="100" w:type="dxa"/>
              <w:left w:w="100" w:type="dxa"/>
              <w:bottom w:w="100" w:type="dxa"/>
              <w:right w:w="100" w:type="dxa"/>
            </w:tcMar>
            <w:vAlign w:val="center"/>
          </w:tcPr>
          <w:p w14:paraId="16AC9553" w14:textId="77777777" w:rsidR="00577B53" w:rsidRDefault="00C27D64">
            <w:pPr>
              <w:pStyle w:val="normal0"/>
              <w:widowControl w:val="0"/>
              <w:spacing w:line="240" w:lineRule="auto"/>
              <w:jc w:val="center"/>
            </w:pPr>
            <w:r>
              <w:t>4</w:t>
            </w:r>
          </w:p>
        </w:tc>
      </w:tr>
      <w:tr w:rsidR="00577B53" w14:paraId="7CF8BFC4" w14:textId="77777777">
        <w:tc>
          <w:tcPr>
            <w:tcW w:w="1230" w:type="dxa"/>
            <w:tcMar>
              <w:top w:w="100" w:type="dxa"/>
              <w:left w:w="100" w:type="dxa"/>
              <w:bottom w:w="100" w:type="dxa"/>
              <w:right w:w="100" w:type="dxa"/>
            </w:tcMar>
            <w:vAlign w:val="center"/>
          </w:tcPr>
          <w:p w14:paraId="10E68712" w14:textId="77777777" w:rsidR="00577B53" w:rsidRDefault="00C27D64">
            <w:pPr>
              <w:pStyle w:val="normal0"/>
              <w:widowControl w:val="0"/>
              <w:spacing w:line="240" w:lineRule="auto"/>
              <w:jc w:val="center"/>
            </w:pPr>
            <w:r>
              <w:t>60</w:t>
            </w:r>
          </w:p>
        </w:tc>
        <w:tc>
          <w:tcPr>
            <w:tcW w:w="1245" w:type="dxa"/>
            <w:tcMar>
              <w:top w:w="100" w:type="dxa"/>
              <w:left w:w="100" w:type="dxa"/>
              <w:bottom w:w="100" w:type="dxa"/>
              <w:right w:w="100" w:type="dxa"/>
            </w:tcMar>
            <w:vAlign w:val="center"/>
          </w:tcPr>
          <w:p w14:paraId="76D8671F" w14:textId="77777777" w:rsidR="00577B53" w:rsidRDefault="00C27D64">
            <w:pPr>
              <w:pStyle w:val="normal0"/>
              <w:widowControl w:val="0"/>
              <w:spacing w:line="240" w:lineRule="auto"/>
              <w:jc w:val="center"/>
            </w:pPr>
            <w:r>
              <w:t>64</w:t>
            </w:r>
          </w:p>
        </w:tc>
        <w:tc>
          <w:tcPr>
            <w:tcW w:w="1365" w:type="dxa"/>
            <w:tcMar>
              <w:top w:w="100" w:type="dxa"/>
              <w:left w:w="100" w:type="dxa"/>
              <w:bottom w:w="100" w:type="dxa"/>
              <w:right w:w="100" w:type="dxa"/>
            </w:tcMar>
            <w:vAlign w:val="center"/>
          </w:tcPr>
          <w:p w14:paraId="66F90932" w14:textId="77777777" w:rsidR="00577B53" w:rsidRDefault="00C27D64">
            <w:pPr>
              <w:pStyle w:val="normal0"/>
              <w:widowControl w:val="0"/>
              <w:spacing w:line="240" w:lineRule="auto"/>
              <w:jc w:val="center"/>
            </w:pPr>
            <w:r>
              <w:t>16</w:t>
            </w:r>
          </w:p>
        </w:tc>
        <w:tc>
          <w:tcPr>
            <w:tcW w:w="1710" w:type="dxa"/>
            <w:tcBorders>
              <w:top w:val="nil"/>
              <w:bottom w:val="nil"/>
            </w:tcBorders>
            <w:tcMar>
              <w:top w:w="100" w:type="dxa"/>
              <w:left w:w="100" w:type="dxa"/>
              <w:bottom w:w="100" w:type="dxa"/>
              <w:right w:w="100" w:type="dxa"/>
            </w:tcMar>
            <w:vAlign w:val="center"/>
          </w:tcPr>
          <w:p w14:paraId="7AE2A398" w14:textId="77777777" w:rsidR="00577B53" w:rsidRDefault="00577B53">
            <w:pPr>
              <w:pStyle w:val="normal0"/>
              <w:widowControl w:val="0"/>
              <w:spacing w:line="240" w:lineRule="auto"/>
              <w:jc w:val="center"/>
            </w:pPr>
          </w:p>
        </w:tc>
        <w:tc>
          <w:tcPr>
            <w:tcW w:w="1200" w:type="dxa"/>
            <w:tcMar>
              <w:top w:w="100" w:type="dxa"/>
              <w:left w:w="100" w:type="dxa"/>
              <w:bottom w:w="100" w:type="dxa"/>
              <w:right w:w="100" w:type="dxa"/>
            </w:tcMar>
            <w:vAlign w:val="center"/>
          </w:tcPr>
          <w:p w14:paraId="63AAF5A7" w14:textId="77777777" w:rsidR="00577B53" w:rsidRDefault="00C27D64">
            <w:pPr>
              <w:pStyle w:val="normal0"/>
              <w:widowControl w:val="0"/>
              <w:spacing w:line="240" w:lineRule="auto"/>
              <w:jc w:val="center"/>
            </w:pPr>
            <w:r>
              <w:t>8</w:t>
            </w:r>
          </w:p>
        </w:tc>
        <w:tc>
          <w:tcPr>
            <w:tcW w:w="1230" w:type="dxa"/>
            <w:tcMar>
              <w:top w:w="100" w:type="dxa"/>
              <w:left w:w="100" w:type="dxa"/>
              <w:bottom w:w="100" w:type="dxa"/>
              <w:right w:w="100" w:type="dxa"/>
            </w:tcMar>
            <w:vAlign w:val="center"/>
          </w:tcPr>
          <w:p w14:paraId="309EF630" w14:textId="77777777" w:rsidR="00577B53" w:rsidRDefault="00C27D64">
            <w:pPr>
              <w:pStyle w:val="normal0"/>
              <w:widowControl w:val="0"/>
              <w:spacing w:line="240" w:lineRule="auto"/>
              <w:jc w:val="center"/>
            </w:pPr>
            <w:r>
              <w:t>12</w:t>
            </w:r>
          </w:p>
        </w:tc>
        <w:tc>
          <w:tcPr>
            <w:tcW w:w="1455" w:type="dxa"/>
            <w:tcMar>
              <w:top w:w="100" w:type="dxa"/>
              <w:left w:w="100" w:type="dxa"/>
              <w:bottom w:w="100" w:type="dxa"/>
              <w:right w:w="100" w:type="dxa"/>
            </w:tcMar>
            <w:vAlign w:val="center"/>
          </w:tcPr>
          <w:p w14:paraId="5D576634" w14:textId="77777777" w:rsidR="00577B53" w:rsidRDefault="00C27D64">
            <w:pPr>
              <w:pStyle w:val="normal0"/>
              <w:widowControl w:val="0"/>
              <w:spacing w:line="240" w:lineRule="auto"/>
              <w:jc w:val="center"/>
            </w:pPr>
            <w:r>
              <w:t>3</w:t>
            </w:r>
          </w:p>
        </w:tc>
      </w:tr>
      <w:tr w:rsidR="00577B53" w14:paraId="6B14D1A6" w14:textId="77777777">
        <w:tc>
          <w:tcPr>
            <w:tcW w:w="1230" w:type="dxa"/>
            <w:tcMar>
              <w:top w:w="100" w:type="dxa"/>
              <w:left w:w="100" w:type="dxa"/>
              <w:bottom w:w="100" w:type="dxa"/>
              <w:right w:w="100" w:type="dxa"/>
            </w:tcMar>
            <w:vAlign w:val="center"/>
          </w:tcPr>
          <w:p w14:paraId="6DE1AB1A" w14:textId="77777777" w:rsidR="00577B53" w:rsidRDefault="00C27D64">
            <w:pPr>
              <w:pStyle w:val="normal0"/>
              <w:widowControl w:val="0"/>
              <w:spacing w:line="240" w:lineRule="auto"/>
              <w:jc w:val="center"/>
            </w:pPr>
            <w:r>
              <w:t>56</w:t>
            </w:r>
          </w:p>
        </w:tc>
        <w:tc>
          <w:tcPr>
            <w:tcW w:w="1245" w:type="dxa"/>
            <w:tcMar>
              <w:top w:w="100" w:type="dxa"/>
              <w:left w:w="100" w:type="dxa"/>
              <w:bottom w:w="100" w:type="dxa"/>
              <w:right w:w="100" w:type="dxa"/>
            </w:tcMar>
            <w:vAlign w:val="center"/>
          </w:tcPr>
          <w:p w14:paraId="056DE9AD" w14:textId="77777777" w:rsidR="00577B53" w:rsidRDefault="00C27D64">
            <w:pPr>
              <w:pStyle w:val="normal0"/>
              <w:widowControl w:val="0"/>
              <w:spacing w:line="240" w:lineRule="auto"/>
              <w:jc w:val="center"/>
            </w:pPr>
            <w:r>
              <w:t>60</w:t>
            </w:r>
          </w:p>
        </w:tc>
        <w:tc>
          <w:tcPr>
            <w:tcW w:w="1365" w:type="dxa"/>
            <w:tcMar>
              <w:top w:w="100" w:type="dxa"/>
              <w:left w:w="100" w:type="dxa"/>
              <w:bottom w:w="100" w:type="dxa"/>
              <w:right w:w="100" w:type="dxa"/>
            </w:tcMar>
            <w:vAlign w:val="center"/>
          </w:tcPr>
          <w:p w14:paraId="64AA549B" w14:textId="77777777" w:rsidR="00577B53" w:rsidRDefault="00C27D64">
            <w:pPr>
              <w:pStyle w:val="normal0"/>
              <w:widowControl w:val="0"/>
              <w:spacing w:line="240" w:lineRule="auto"/>
              <w:jc w:val="center"/>
            </w:pPr>
            <w:r>
              <w:t>15</w:t>
            </w:r>
          </w:p>
        </w:tc>
        <w:tc>
          <w:tcPr>
            <w:tcW w:w="1710" w:type="dxa"/>
            <w:tcBorders>
              <w:top w:val="nil"/>
              <w:bottom w:val="nil"/>
            </w:tcBorders>
            <w:tcMar>
              <w:top w:w="100" w:type="dxa"/>
              <w:left w:w="100" w:type="dxa"/>
              <w:bottom w:w="100" w:type="dxa"/>
              <w:right w:w="100" w:type="dxa"/>
            </w:tcMar>
            <w:vAlign w:val="center"/>
          </w:tcPr>
          <w:p w14:paraId="757CB870" w14:textId="77777777" w:rsidR="00577B53" w:rsidRDefault="00577B53">
            <w:pPr>
              <w:pStyle w:val="normal0"/>
              <w:widowControl w:val="0"/>
              <w:spacing w:line="240" w:lineRule="auto"/>
              <w:jc w:val="center"/>
            </w:pPr>
          </w:p>
        </w:tc>
        <w:tc>
          <w:tcPr>
            <w:tcW w:w="1200" w:type="dxa"/>
            <w:tcMar>
              <w:top w:w="100" w:type="dxa"/>
              <w:left w:w="100" w:type="dxa"/>
              <w:bottom w:w="100" w:type="dxa"/>
              <w:right w:w="100" w:type="dxa"/>
            </w:tcMar>
            <w:vAlign w:val="center"/>
          </w:tcPr>
          <w:p w14:paraId="4CBCA3BD" w14:textId="77777777" w:rsidR="00577B53" w:rsidRDefault="00C27D64">
            <w:pPr>
              <w:pStyle w:val="normal0"/>
              <w:widowControl w:val="0"/>
              <w:spacing w:line="240" w:lineRule="auto"/>
              <w:jc w:val="center"/>
            </w:pPr>
            <w:r>
              <w:t>4</w:t>
            </w:r>
          </w:p>
        </w:tc>
        <w:tc>
          <w:tcPr>
            <w:tcW w:w="1230" w:type="dxa"/>
            <w:tcMar>
              <w:top w:w="100" w:type="dxa"/>
              <w:left w:w="100" w:type="dxa"/>
              <w:bottom w:w="100" w:type="dxa"/>
              <w:right w:w="100" w:type="dxa"/>
            </w:tcMar>
            <w:vAlign w:val="center"/>
          </w:tcPr>
          <w:p w14:paraId="7BE257A8" w14:textId="77777777" w:rsidR="00577B53" w:rsidRDefault="00C27D64">
            <w:pPr>
              <w:pStyle w:val="normal0"/>
              <w:widowControl w:val="0"/>
              <w:spacing w:line="240" w:lineRule="auto"/>
              <w:jc w:val="center"/>
            </w:pPr>
            <w:r>
              <w:t>8</w:t>
            </w:r>
          </w:p>
        </w:tc>
        <w:tc>
          <w:tcPr>
            <w:tcW w:w="1455" w:type="dxa"/>
            <w:tcMar>
              <w:top w:w="100" w:type="dxa"/>
              <w:left w:w="100" w:type="dxa"/>
              <w:bottom w:w="100" w:type="dxa"/>
              <w:right w:w="100" w:type="dxa"/>
            </w:tcMar>
            <w:vAlign w:val="center"/>
          </w:tcPr>
          <w:p w14:paraId="3549CB9B" w14:textId="77777777" w:rsidR="00577B53" w:rsidRDefault="00C27D64">
            <w:pPr>
              <w:pStyle w:val="normal0"/>
              <w:widowControl w:val="0"/>
              <w:spacing w:line="240" w:lineRule="auto"/>
              <w:jc w:val="center"/>
            </w:pPr>
            <w:r>
              <w:t>2</w:t>
            </w:r>
          </w:p>
        </w:tc>
      </w:tr>
      <w:tr w:rsidR="00577B53" w14:paraId="76AADA69" w14:textId="77777777">
        <w:tc>
          <w:tcPr>
            <w:tcW w:w="1230" w:type="dxa"/>
            <w:tcMar>
              <w:top w:w="100" w:type="dxa"/>
              <w:left w:w="100" w:type="dxa"/>
              <w:bottom w:w="100" w:type="dxa"/>
              <w:right w:w="100" w:type="dxa"/>
            </w:tcMar>
            <w:vAlign w:val="center"/>
          </w:tcPr>
          <w:p w14:paraId="18BBAD11" w14:textId="77777777" w:rsidR="00577B53" w:rsidRDefault="00C27D64">
            <w:pPr>
              <w:pStyle w:val="normal0"/>
              <w:widowControl w:val="0"/>
              <w:spacing w:line="240" w:lineRule="auto"/>
              <w:jc w:val="center"/>
            </w:pPr>
            <w:r>
              <w:t>52</w:t>
            </w:r>
          </w:p>
        </w:tc>
        <w:tc>
          <w:tcPr>
            <w:tcW w:w="1245" w:type="dxa"/>
            <w:tcMar>
              <w:top w:w="100" w:type="dxa"/>
              <w:left w:w="100" w:type="dxa"/>
              <w:bottom w:w="100" w:type="dxa"/>
              <w:right w:w="100" w:type="dxa"/>
            </w:tcMar>
            <w:vAlign w:val="center"/>
          </w:tcPr>
          <w:p w14:paraId="72EB1E0B" w14:textId="77777777" w:rsidR="00577B53" w:rsidRDefault="00C27D64">
            <w:pPr>
              <w:pStyle w:val="normal0"/>
              <w:widowControl w:val="0"/>
              <w:spacing w:line="240" w:lineRule="auto"/>
              <w:jc w:val="center"/>
            </w:pPr>
            <w:r>
              <w:t>56</w:t>
            </w:r>
          </w:p>
        </w:tc>
        <w:tc>
          <w:tcPr>
            <w:tcW w:w="1365" w:type="dxa"/>
            <w:tcMar>
              <w:top w:w="100" w:type="dxa"/>
              <w:left w:w="100" w:type="dxa"/>
              <w:bottom w:w="100" w:type="dxa"/>
              <w:right w:w="100" w:type="dxa"/>
            </w:tcMar>
            <w:vAlign w:val="center"/>
          </w:tcPr>
          <w:p w14:paraId="40EC8707" w14:textId="77777777" w:rsidR="00577B53" w:rsidRDefault="00C27D64">
            <w:pPr>
              <w:pStyle w:val="normal0"/>
              <w:widowControl w:val="0"/>
              <w:spacing w:line="240" w:lineRule="auto"/>
              <w:jc w:val="center"/>
            </w:pPr>
            <w:r>
              <w:t>14</w:t>
            </w:r>
          </w:p>
        </w:tc>
        <w:tc>
          <w:tcPr>
            <w:tcW w:w="1710" w:type="dxa"/>
            <w:tcBorders>
              <w:top w:val="nil"/>
              <w:bottom w:val="nil"/>
            </w:tcBorders>
            <w:tcMar>
              <w:top w:w="100" w:type="dxa"/>
              <w:left w:w="100" w:type="dxa"/>
              <w:bottom w:w="100" w:type="dxa"/>
              <w:right w:w="100" w:type="dxa"/>
            </w:tcMar>
            <w:vAlign w:val="center"/>
          </w:tcPr>
          <w:p w14:paraId="4D04FB46" w14:textId="77777777" w:rsidR="00577B53" w:rsidRDefault="00577B53">
            <w:pPr>
              <w:pStyle w:val="normal0"/>
              <w:widowControl w:val="0"/>
              <w:spacing w:line="240" w:lineRule="auto"/>
              <w:jc w:val="center"/>
            </w:pPr>
          </w:p>
        </w:tc>
        <w:tc>
          <w:tcPr>
            <w:tcW w:w="1200" w:type="dxa"/>
            <w:tcMar>
              <w:top w:w="100" w:type="dxa"/>
              <w:left w:w="100" w:type="dxa"/>
              <w:bottom w:w="100" w:type="dxa"/>
              <w:right w:w="100" w:type="dxa"/>
            </w:tcMar>
            <w:vAlign w:val="center"/>
          </w:tcPr>
          <w:p w14:paraId="53287D34" w14:textId="77777777" w:rsidR="00577B53" w:rsidRDefault="00C27D64">
            <w:pPr>
              <w:pStyle w:val="normal0"/>
              <w:widowControl w:val="0"/>
              <w:spacing w:line="240" w:lineRule="auto"/>
              <w:jc w:val="center"/>
            </w:pPr>
            <w:r>
              <w:t>0</w:t>
            </w:r>
          </w:p>
        </w:tc>
        <w:tc>
          <w:tcPr>
            <w:tcW w:w="1230" w:type="dxa"/>
            <w:tcMar>
              <w:top w:w="100" w:type="dxa"/>
              <w:left w:w="100" w:type="dxa"/>
              <w:bottom w:w="100" w:type="dxa"/>
              <w:right w:w="100" w:type="dxa"/>
            </w:tcMar>
            <w:vAlign w:val="center"/>
          </w:tcPr>
          <w:p w14:paraId="53580663" w14:textId="77777777" w:rsidR="00577B53" w:rsidRDefault="00C27D64">
            <w:pPr>
              <w:pStyle w:val="normal0"/>
              <w:widowControl w:val="0"/>
              <w:spacing w:line="240" w:lineRule="auto"/>
              <w:jc w:val="center"/>
            </w:pPr>
            <w:r>
              <w:t>4</w:t>
            </w:r>
          </w:p>
        </w:tc>
        <w:tc>
          <w:tcPr>
            <w:tcW w:w="1455" w:type="dxa"/>
            <w:tcMar>
              <w:top w:w="100" w:type="dxa"/>
              <w:left w:w="100" w:type="dxa"/>
              <w:bottom w:w="100" w:type="dxa"/>
              <w:right w:w="100" w:type="dxa"/>
            </w:tcMar>
            <w:vAlign w:val="center"/>
          </w:tcPr>
          <w:p w14:paraId="72F9DD47" w14:textId="77777777" w:rsidR="00577B53" w:rsidRDefault="00C27D64">
            <w:pPr>
              <w:pStyle w:val="normal0"/>
              <w:widowControl w:val="0"/>
              <w:spacing w:line="240" w:lineRule="auto"/>
              <w:jc w:val="center"/>
            </w:pPr>
            <w:r>
              <w:t>1</w:t>
            </w:r>
          </w:p>
        </w:tc>
      </w:tr>
      <w:tr w:rsidR="00577B53" w14:paraId="3950A7E2" w14:textId="77777777">
        <w:tc>
          <w:tcPr>
            <w:tcW w:w="1230" w:type="dxa"/>
            <w:tcMar>
              <w:top w:w="100" w:type="dxa"/>
              <w:left w:w="100" w:type="dxa"/>
              <w:bottom w:w="100" w:type="dxa"/>
              <w:right w:w="100" w:type="dxa"/>
            </w:tcMar>
            <w:vAlign w:val="center"/>
          </w:tcPr>
          <w:p w14:paraId="1389E476" w14:textId="77777777" w:rsidR="00577B53" w:rsidRDefault="00C27D64">
            <w:pPr>
              <w:pStyle w:val="normal0"/>
              <w:widowControl w:val="0"/>
              <w:spacing w:line="240" w:lineRule="auto"/>
              <w:jc w:val="center"/>
            </w:pPr>
            <w:r>
              <w:t>48</w:t>
            </w:r>
          </w:p>
        </w:tc>
        <w:tc>
          <w:tcPr>
            <w:tcW w:w="1245" w:type="dxa"/>
            <w:tcMar>
              <w:top w:w="100" w:type="dxa"/>
              <w:left w:w="100" w:type="dxa"/>
              <w:bottom w:w="100" w:type="dxa"/>
              <w:right w:w="100" w:type="dxa"/>
            </w:tcMar>
            <w:vAlign w:val="center"/>
          </w:tcPr>
          <w:p w14:paraId="2C0E2F27" w14:textId="77777777" w:rsidR="00577B53" w:rsidRDefault="00C27D64">
            <w:pPr>
              <w:pStyle w:val="normal0"/>
              <w:widowControl w:val="0"/>
              <w:spacing w:line="240" w:lineRule="auto"/>
              <w:jc w:val="center"/>
            </w:pPr>
            <w:r>
              <w:t>52</w:t>
            </w:r>
          </w:p>
        </w:tc>
        <w:tc>
          <w:tcPr>
            <w:tcW w:w="1365" w:type="dxa"/>
            <w:tcMar>
              <w:top w:w="100" w:type="dxa"/>
              <w:left w:w="100" w:type="dxa"/>
              <w:bottom w:w="100" w:type="dxa"/>
              <w:right w:w="100" w:type="dxa"/>
            </w:tcMar>
            <w:vAlign w:val="center"/>
          </w:tcPr>
          <w:p w14:paraId="3733AC0F" w14:textId="77777777" w:rsidR="00577B53" w:rsidRDefault="00C27D64">
            <w:pPr>
              <w:pStyle w:val="normal0"/>
              <w:widowControl w:val="0"/>
              <w:spacing w:line="240" w:lineRule="auto"/>
              <w:jc w:val="center"/>
            </w:pPr>
            <w:r>
              <w:t>13</w:t>
            </w:r>
          </w:p>
        </w:tc>
        <w:tc>
          <w:tcPr>
            <w:tcW w:w="1710" w:type="dxa"/>
            <w:tcBorders>
              <w:top w:val="nil"/>
              <w:bottom w:val="nil"/>
              <w:right w:val="nil"/>
            </w:tcBorders>
            <w:tcMar>
              <w:top w:w="100" w:type="dxa"/>
              <w:left w:w="100" w:type="dxa"/>
              <w:bottom w:w="100" w:type="dxa"/>
              <w:right w:w="100" w:type="dxa"/>
            </w:tcMar>
            <w:vAlign w:val="center"/>
          </w:tcPr>
          <w:p w14:paraId="545C7A77" w14:textId="77777777" w:rsidR="00577B53" w:rsidRDefault="00577B53">
            <w:pPr>
              <w:pStyle w:val="normal0"/>
              <w:widowControl w:val="0"/>
              <w:spacing w:line="240" w:lineRule="auto"/>
              <w:jc w:val="center"/>
            </w:pPr>
          </w:p>
        </w:tc>
        <w:tc>
          <w:tcPr>
            <w:tcW w:w="1200" w:type="dxa"/>
            <w:tcBorders>
              <w:left w:val="nil"/>
              <w:bottom w:val="nil"/>
              <w:right w:val="nil"/>
            </w:tcBorders>
            <w:tcMar>
              <w:top w:w="100" w:type="dxa"/>
              <w:left w:w="100" w:type="dxa"/>
              <w:bottom w:w="100" w:type="dxa"/>
              <w:right w:w="100" w:type="dxa"/>
            </w:tcMar>
            <w:vAlign w:val="center"/>
          </w:tcPr>
          <w:p w14:paraId="7AD2F7DA" w14:textId="77777777" w:rsidR="00577B53" w:rsidRDefault="00577B53">
            <w:pPr>
              <w:pStyle w:val="normal0"/>
              <w:widowControl w:val="0"/>
              <w:spacing w:line="240" w:lineRule="auto"/>
              <w:jc w:val="center"/>
            </w:pPr>
          </w:p>
        </w:tc>
        <w:tc>
          <w:tcPr>
            <w:tcW w:w="1230" w:type="dxa"/>
            <w:tcBorders>
              <w:left w:val="nil"/>
              <w:bottom w:val="nil"/>
              <w:right w:val="nil"/>
            </w:tcBorders>
            <w:tcMar>
              <w:top w:w="100" w:type="dxa"/>
              <w:left w:w="100" w:type="dxa"/>
              <w:bottom w:w="100" w:type="dxa"/>
              <w:right w:w="100" w:type="dxa"/>
            </w:tcMar>
            <w:vAlign w:val="center"/>
          </w:tcPr>
          <w:p w14:paraId="0A7B511F" w14:textId="77777777" w:rsidR="00577B53" w:rsidRDefault="00577B53">
            <w:pPr>
              <w:pStyle w:val="normal0"/>
              <w:widowControl w:val="0"/>
              <w:spacing w:line="240" w:lineRule="auto"/>
              <w:jc w:val="center"/>
            </w:pPr>
          </w:p>
        </w:tc>
        <w:tc>
          <w:tcPr>
            <w:tcW w:w="1455" w:type="dxa"/>
            <w:tcBorders>
              <w:left w:val="nil"/>
              <w:bottom w:val="nil"/>
              <w:right w:val="nil"/>
            </w:tcBorders>
            <w:tcMar>
              <w:top w:w="100" w:type="dxa"/>
              <w:left w:w="100" w:type="dxa"/>
              <w:bottom w:w="100" w:type="dxa"/>
              <w:right w:w="100" w:type="dxa"/>
            </w:tcMar>
            <w:vAlign w:val="center"/>
          </w:tcPr>
          <w:p w14:paraId="37E3CD88" w14:textId="77777777" w:rsidR="00577B53" w:rsidRDefault="00577B53">
            <w:pPr>
              <w:pStyle w:val="normal0"/>
              <w:widowControl w:val="0"/>
              <w:spacing w:line="240" w:lineRule="auto"/>
              <w:jc w:val="center"/>
            </w:pPr>
          </w:p>
        </w:tc>
      </w:tr>
    </w:tbl>
    <w:p w14:paraId="66455BE5" w14:textId="77777777" w:rsidR="00577B53" w:rsidRDefault="00C27D64">
      <w:pPr>
        <w:pStyle w:val="normal0"/>
      </w:pPr>
      <w:r>
        <w:rPr>
          <w:sz w:val="16"/>
          <w:szCs w:val="16"/>
        </w:rPr>
        <w:t>Ranges include the low-bound percent but exclude the high-bound percent. For example a score of 20 would be given to 76% proficiency but a score of 21 would be given to 80% proficiency. Percents will not be rounded except for a percent less than 0.1% smaller than the low-bound percent of the next point on the scale, which will be rounded up to the low-bound percent</w:t>
      </w:r>
    </w:p>
    <w:p w14:paraId="0DE35562" w14:textId="77777777" w:rsidR="00577B53" w:rsidRDefault="00577B53">
      <w:pPr>
        <w:pStyle w:val="Heading3"/>
        <w:contextualSpacing w:val="0"/>
      </w:pPr>
      <w:bookmarkStart w:id="19" w:name="h.o9jj75n5exzc" w:colFirst="0" w:colLast="0"/>
      <w:bookmarkEnd w:id="19"/>
    </w:p>
    <w:p w14:paraId="654F475F" w14:textId="77777777" w:rsidR="00577B53" w:rsidRDefault="00C27D64">
      <w:pPr>
        <w:pStyle w:val="normal0"/>
      </w:pPr>
      <w:r>
        <w:br w:type="page"/>
      </w:r>
    </w:p>
    <w:p w14:paraId="2D71FF40" w14:textId="77777777" w:rsidR="00577B53" w:rsidRDefault="00577B53">
      <w:pPr>
        <w:pStyle w:val="Heading3"/>
        <w:contextualSpacing w:val="0"/>
      </w:pPr>
      <w:bookmarkStart w:id="20" w:name="h.mx7tsa5h63gh" w:colFirst="0" w:colLast="0"/>
      <w:bookmarkEnd w:id="20"/>
    </w:p>
    <w:p w14:paraId="0959F7C5" w14:textId="77777777" w:rsidR="00577B53" w:rsidRDefault="00C27D64">
      <w:pPr>
        <w:pStyle w:val="Heading3"/>
        <w:contextualSpacing w:val="0"/>
      </w:pPr>
      <w:bookmarkStart w:id="21" w:name="h.skgghbqylf6u" w:colFirst="0" w:colLast="0"/>
      <w:bookmarkEnd w:id="21"/>
      <w:r>
        <w:rPr>
          <w:b/>
          <w:color w:val="000000"/>
        </w:rPr>
        <w:t>Index 2: Student Progress Over Time</w:t>
      </w:r>
    </w:p>
    <w:p w14:paraId="5B82F8E9" w14:textId="77777777" w:rsidR="00577B53" w:rsidRDefault="00C27D64">
      <w:pPr>
        <w:pStyle w:val="normal0"/>
      </w:pPr>
      <w:r>
        <w:t>For every student who demonstrates “typical growth”, that is, has an SGP of 40 or greater, a school will be awarded .6 points. For every student who demonstrates “advanced growth”, that is, has an SGP of 60 or above, will be awarded 1 point. The sum of these two values divided by the total number of participating students will be the school’s raw score for Index 2. (This calculation will include students’ scores in both English language arts and math)</w:t>
      </w:r>
    </w:p>
    <w:p w14:paraId="4A93F343" w14:textId="77777777" w:rsidR="00577B53" w:rsidRDefault="00577B53">
      <w:pPr>
        <w:pStyle w:val="normal0"/>
      </w:pPr>
    </w:p>
    <w:p w14:paraId="28E82B68" w14:textId="77777777" w:rsidR="00577B53" w:rsidRDefault="00C27D64">
      <w:pPr>
        <w:pStyle w:val="normal0"/>
        <w:spacing w:after="200"/>
      </w:pPr>
      <w:r>
        <w:rPr>
          <w:i/>
        </w:rPr>
        <w:t>Based on Kentucky’s Unbridled Learning Accountability Model.</w:t>
      </w:r>
      <w:r>
        <w:rPr>
          <w:vertAlign w:val="superscript"/>
        </w:rPr>
        <w:t>10</w:t>
      </w:r>
    </w:p>
    <w:p w14:paraId="6DD5F4FE" w14:textId="77777777" w:rsidR="00577B53" w:rsidRDefault="00C27D64">
      <w:pPr>
        <w:pStyle w:val="Heading3"/>
        <w:contextualSpacing w:val="0"/>
      </w:pPr>
      <w:bookmarkStart w:id="22" w:name="h.76bw8pon6k8k" w:colFirst="0" w:colLast="0"/>
      <w:bookmarkEnd w:id="22"/>
      <w:r>
        <w:rPr>
          <w:b/>
          <w:color w:val="000000"/>
        </w:rPr>
        <w:t>Index 3: Closing Performance Gaps</w:t>
      </w:r>
    </w:p>
    <w:p w14:paraId="4424A7AA" w14:textId="77777777" w:rsidR="00577B53" w:rsidRDefault="00577B53">
      <w:pPr>
        <w:pStyle w:val="normal0"/>
      </w:pPr>
    </w:p>
    <w:p w14:paraId="4D40F41B" w14:textId="77777777" w:rsidR="00577B53" w:rsidRDefault="00C27D64">
      <w:pPr>
        <w:pStyle w:val="normal0"/>
      </w:pPr>
      <w:r>
        <w:t>The goal for all groups is to achieve or exceed an SGP of at least one point above the “typical growth” for the state Groups with a median SGP of 41 or higher receive .6 points. Groups that achieve “advanced growth” will receive 1 point. The sum of these will be the school’s raw score for Index 3. (This calculation will include students’ scores in both English language arts and math)</w:t>
      </w:r>
    </w:p>
    <w:p w14:paraId="4FE1975C" w14:textId="77777777" w:rsidR="00577B53" w:rsidRDefault="00C27D64">
      <w:pPr>
        <w:pStyle w:val="Heading3"/>
        <w:contextualSpacing w:val="0"/>
      </w:pPr>
      <w:bookmarkStart w:id="23" w:name="h.1p8h6ejqoind" w:colFirst="0" w:colLast="0"/>
      <w:bookmarkEnd w:id="23"/>
      <w:r>
        <w:rPr>
          <w:b/>
          <w:color w:val="000000"/>
        </w:rPr>
        <w:t>Index 4: School Climate</w:t>
      </w:r>
    </w:p>
    <w:p w14:paraId="1C787F50" w14:textId="77777777" w:rsidR="00577B53" w:rsidRDefault="00C27D64">
      <w:pPr>
        <w:pStyle w:val="normal0"/>
      </w:pPr>
      <w:r>
        <w:t>The score for school climate will be found by:</w:t>
      </w:r>
    </w:p>
    <w:p w14:paraId="55B8E033" w14:textId="77777777" w:rsidR="00577B53" w:rsidRDefault="00C27D64">
      <w:pPr>
        <w:pStyle w:val="normal0"/>
        <w:numPr>
          <w:ilvl w:val="0"/>
          <w:numId w:val="2"/>
        </w:numPr>
        <w:ind w:hanging="360"/>
        <w:contextualSpacing/>
      </w:pPr>
      <w:r>
        <w:t>Averaging the answers of each survey to find each student’s overall school climate assessment. Answers to the open-ended question will not be included.</w:t>
      </w:r>
    </w:p>
    <w:p w14:paraId="307DF0F3" w14:textId="77777777" w:rsidR="00577B53" w:rsidRDefault="00C27D64">
      <w:pPr>
        <w:pStyle w:val="normal0"/>
        <w:numPr>
          <w:ilvl w:val="0"/>
          <w:numId w:val="2"/>
        </w:numPr>
        <w:ind w:hanging="360"/>
        <w:contextualSpacing/>
      </w:pPr>
      <w:r>
        <w:t>Rounding the average to the nearest whole number score. Digits 1-4 round down, digits 5-9 round up.</w:t>
      </w:r>
    </w:p>
    <w:p w14:paraId="6A916DBF" w14:textId="77777777" w:rsidR="00577B53" w:rsidRDefault="00C27D64">
      <w:pPr>
        <w:pStyle w:val="normal0"/>
        <w:numPr>
          <w:ilvl w:val="0"/>
          <w:numId w:val="2"/>
        </w:numPr>
        <w:ind w:hanging="360"/>
        <w:contextualSpacing/>
      </w:pPr>
      <w:r>
        <w:t>Finding the student body mean overall assessment of school climate.</w:t>
      </w:r>
    </w:p>
    <w:p w14:paraId="682C1F90" w14:textId="77777777" w:rsidR="00577B53" w:rsidRDefault="00C27D64">
      <w:pPr>
        <w:pStyle w:val="Heading2"/>
        <w:contextualSpacing w:val="0"/>
      </w:pPr>
      <w:bookmarkStart w:id="24" w:name="h.pcr4fqdzxgu9" w:colFirst="0" w:colLast="0"/>
      <w:bookmarkEnd w:id="24"/>
      <w:r>
        <w:rPr>
          <w:b/>
          <w:u w:val="single"/>
        </w:rPr>
        <w:t>School Ratings</w:t>
      </w:r>
    </w:p>
    <w:p w14:paraId="7FC3B5B8" w14:textId="77777777" w:rsidR="00577B53" w:rsidRDefault="00C27D64">
      <w:pPr>
        <w:pStyle w:val="normal0"/>
      </w:pPr>
      <w:r>
        <w:t>Schools will be put into four categories based on the table below. The score for each Index will also be reported. The performance of the subgroups listed in Index 3 with 20 or more students will also be reported. Additionally, participation rates overall, for each Index, and for the subgroups listed in Index 3 with 20 or more students will be reported.</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77B53" w14:paraId="57BD259A" w14:textId="77777777">
        <w:tc>
          <w:tcPr>
            <w:tcW w:w="4680" w:type="dxa"/>
            <w:tcMar>
              <w:top w:w="100" w:type="dxa"/>
              <w:left w:w="100" w:type="dxa"/>
              <w:bottom w:w="100" w:type="dxa"/>
              <w:right w:w="100" w:type="dxa"/>
            </w:tcMar>
          </w:tcPr>
          <w:p w14:paraId="121F4EF4" w14:textId="77777777" w:rsidR="00577B53" w:rsidRDefault="00C27D64">
            <w:pPr>
              <w:pStyle w:val="normal0"/>
              <w:widowControl w:val="0"/>
              <w:spacing w:line="240" w:lineRule="auto"/>
              <w:jc w:val="center"/>
            </w:pPr>
            <w:r>
              <w:t>Points Earned</w:t>
            </w:r>
          </w:p>
        </w:tc>
        <w:tc>
          <w:tcPr>
            <w:tcW w:w="4680" w:type="dxa"/>
            <w:tcMar>
              <w:top w:w="100" w:type="dxa"/>
              <w:left w:w="100" w:type="dxa"/>
              <w:bottom w:w="100" w:type="dxa"/>
              <w:right w:w="100" w:type="dxa"/>
            </w:tcMar>
          </w:tcPr>
          <w:p w14:paraId="5624AAE6" w14:textId="77777777" w:rsidR="00577B53" w:rsidRDefault="00C27D64">
            <w:pPr>
              <w:pStyle w:val="normal0"/>
              <w:widowControl w:val="0"/>
              <w:spacing w:line="240" w:lineRule="auto"/>
              <w:jc w:val="center"/>
            </w:pPr>
            <w:r>
              <w:t>School Rating</w:t>
            </w:r>
          </w:p>
        </w:tc>
      </w:tr>
      <w:tr w:rsidR="00577B53" w14:paraId="1DB4A5D9" w14:textId="77777777">
        <w:tc>
          <w:tcPr>
            <w:tcW w:w="4680" w:type="dxa"/>
            <w:tcMar>
              <w:top w:w="100" w:type="dxa"/>
              <w:left w:w="100" w:type="dxa"/>
              <w:bottom w:w="100" w:type="dxa"/>
              <w:right w:w="100" w:type="dxa"/>
            </w:tcMar>
          </w:tcPr>
          <w:p w14:paraId="0E585BF1" w14:textId="77777777" w:rsidR="00577B53" w:rsidRDefault="00C27D64">
            <w:pPr>
              <w:pStyle w:val="normal0"/>
              <w:widowControl w:val="0"/>
              <w:spacing w:line="240" w:lineRule="auto"/>
              <w:jc w:val="center"/>
            </w:pPr>
            <w:r>
              <w:t>64-80</w:t>
            </w:r>
          </w:p>
        </w:tc>
        <w:tc>
          <w:tcPr>
            <w:tcW w:w="4680" w:type="dxa"/>
            <w:tcMar>
              <w:top w:w="100" w:type="dxa"/>
              <w:left w:w="100" w:type="dxa"/>
              <w:bottom w:w="100" w:type="dxa"/>
              <w:right w:w="100" w:type="dxa"/>
            </w:tcMar>
          </w:tcPr>
          <w:p w14:paraId="6ECBDB9A" w14:textId="77777777" w:rsidR="00577B53" w:rsidRDefault="00C27D64">
            <w:pPr>
              <w:pStyle w:val="normal0"/>
              <w:widowControl w:val="0"/>
              <w:spacing w:line="240" w:lineRule="auto"/>
              <w:jc w:val="center"/>
            </w:pPr>
            <w:r>
              <w:t>Exceeds Expectations</w:t>
            </w:r>
          </w:p>
        </w:tc>
      </w:tr>
      <w:tr w:rsidR="00577B53" w14:paraId="2F7DCC89" w14:textId="77777777">
        <w:tc>
          <w:tcPr>
            <w:tcW w:w="4680" w:type="dxa"/>
            <w:tcMar>
              <w:top w:w="100" w:type="dxa"/>
              <w:left w:w="100" w:type="dxa"/>
              <w:bottom w:w="100" w:type="dxa"/>
              <w:right w:w="100" w:type="dxa"/>
            </w:tcMar>
          </w:tcPr>
          <w:p w14:paraId="364B35E6" w14:textId="77777777" w:rsidR="00577B53" w:rsidRDefault="00C27D64">
            <w:pPr>
              <w:pStyle w:val="normal0"/>
              <w:widowControl w:val="0"/>
              <w:spacing w:line="240" w:lineRule="auto"/>
              <w:jc w:val="center"/>
            </w:pPr>
            <w:r>
              <w:t>41-63</w:t>
            </w:r>
          </w:p>
        </w:tc>
        <w:tc>
          <w:tcPr>
            <w:tcW w:w="4680" w:type="dxa"/>
            <w:tcMar>
              <w:top w:w="100" w:type="dxa"/>
              <w:left w:w="100" w:type="dxa"/>
              <w:bottom w:w="100" w:type="dxa"/>
              <w:right w:w="100" w:type="dxa"/>
            </w:tcMar>
          </w:tcPr>
          <w:p w14:paraId="7E5F77A4" w14:textId="77777777" w:rsidR="00577B53" w:rsidRDefault="00C27D64">
            <w:pPr>
              <w:pStyle w:val="normal0"/>
              <w:widowControl w:val="0"/>
              <w:spacing w:line="240" w:lineRule="auto"/>
              <w:jc w:val="center"/>
            </w:pPr>
            <w:r>
              <w:t>Meets Expectations</w:t>
            </w:r>
          </w:p>
        </w:tc>
      </w:tr>
      <w:tr w:rsidR="00577B53" w14:paraId="675B8950" w14:textId="77777777">
        <w:tc>
          <w:tcPr>
            <w:tcW w:w="4680" w:type="dxa"/>
            <w:tcMar>
              <w:top w:w="100" w:type="dxa"/>
              <w:left w:w="100" w:type="dxa"/>
              <w:bottom w:w="100" w:type="dxa"/>
              <w:right w:w="100" w:type="dxa"/>
            </w:tcMar>
          </w:tcPr>
          <w:p w14:paraId="081C6449" w14:textId="77777777" w:rsidR="00577B53" w:rsidRDefault="00C27D64">
            <w:pPr>
              <w:pStyle w:val="normal0"/>
              <w:widowControl w:val="0"/>
              <w:spacing w:line="240" w:lineRule="auto"/>
              <w:jc w:val="center"/>
            </w:pPr>
            <w:r>
              <w:t>27-40</w:t>
            </w:r>
          </w:p>
        </w:tc>
        <w:tc>
          <w:tcPr>
            <w:tcW w:w="4680" w:type="dxa"/>
            <w:tcMar>
              <w:top w:w="100" w:type="dxa"/>
              <w:left w:w="100" w:type="dxa"/>
              <w:bottom w:w="100" w:type="dxa"/>
              <w:right w:w="100" w:type="dxa"/>
            </w:tcMar>
          </w:tcPr>
          <w:p w14:paraId="4440070E" w14:textId="77777777" w:rsidR="00577B53" w:rsidRDefault="00C27D64">
            <w:pPr>
              <w:pStyle w:val="normal0"/>
              <w:widowControl w:val="0"/>
              <w:spacing w:line="240" w:lineRule="auto"/>
              <w:jc w:val="center"/>
            </w:pPr>
            <w:r>
              <w:t>Reaching Expectations</w:t>
            </w:r>
          </w:p>
        </w:tc>
      </w:tr>
      <w:tr w:rsidR="00577B53" w14:paraId="30FE780D" w14:textId="77777777">
        <w:tc>
          <w:tcPr>
            <w:tcW w:w="4680" w:type="dxa"/>
            <w:tcMar>
              <w:top w:w="100" w:type="dxa"/>
              <w:left w:w="100" w:type="dxa"/>
              <w:bottom w:w="100" w:type="dxa"/>
              <w:right w:w="100" w:type="dxa"/>
            </w:tcMar>
          </w:tcPr>
          <w:p w14:paraId="3DAFAB1D" w14:textId="77777777" w:rsidR="00577B53" w:rsidRDefault="00C27D64">
            <w:pPr>
              <w:pStyle w:val="normal0"/>
              <w:widowControl w:val="0"/>
              <w:spacing w:line="240" w:lineRule="auto"/>
              <w:jc w:val="center"/>
            </w:pPr>
            <w:r>
              <w:t>0-26</w:t>
            </w:r>
          </w:p>
        </w:tc>
        <w:tc>
          <w:tcPr>
            <w:tcW w:w="4680" w:type="dxa"/>
            <w:tcMar>
              <w:top w:w="100" w:type="dxa"/>
              <w:left w:w="100" w:type="dxa"/>
              <w:bottom w:w="100" w:type="dxa"/>
              <w:right w:w="100" w:type="dxa"/>
            </w:tcMar>
          </w:tcPr>
          <w:p w14:paraId="17444457" w14:textId="77777777" w:rsidR="00577B53" w:rsidRDefault="00C27D64">
            <w:pPr>
              <w:pStyle w:val="normal0"/>
              <w:widowControl w:val="0"/>
              <w:spacing w:line="240" w:lineRule="auto"/>
              <w:jc w:val="center"/>
            </w:pPr>
            <w:r>
              <w:t>Below Expectations</w:t>
            </w:r>
          </w:p>
        </w:tc>
      </w:tr>
    </w:tbl>
    <w:p w14:paraId="2D505846" w14:textId="77777777" w:rsidR="00577B53" w:rsidRDefault="00C27D64">
      <w:pPr>
        <w:pStyle w:val="Heading3"/>
        <w:spacing w:after="200"/>
        <w:contextualSpacing w:val="0"/>
      </w:pPr>
      <w:bookmarkStart w:id="25" w:name="h.sb1skenhkxp0" w:colFirst="0" w:colLast="0"/>
      <w:bookmarkEnd w:id="25"/>
      <w:r>
        <w:rPr>
          <w:b/>
          <w:color w:val="000000"/>
        </w:rPr>
        <w:lastRenderedPageBreak/>
        <w:t>Participation Rate</w:t>
      </w:r>
    </w:p>
    <w:p w14:paraId="7E574F31" w14:textId="77777777" w:rsidR="00577B53" w:rsidRDefault="00C27D64">
      <w:pPr>
        <w:pStyle w:val="normal0"/>
        <w:spacing w:after="200"/>
      </w:pPr>
      <w:r>
        <w:t>All schools must meet a participation rate of 95% overall, for each index, and for all subgroups listed in Index 3 which have 20 or more students. Any school failing to meet the 95% participation for any part will:</w:t>
      </w:r>
    </w:p>
    <w:p w14:paraId="7685FBDD" w14:textId="77777777" w:rsidR="00577B53" w:rsidRDefault="00C27D64">
      <w:pPr>
        <w:pStyle w:val="normal0"/>
        <w:numPr>
          <w:ilvl w:val="0"/>
          <w:numId w:val="6"/>
        </w:numPr>
        <w:spacing w:after="200"/>
        <w:ind w:hanging="360"/>
        <w:contextualSpacing/>
      </w:pPr>
      <w:r>
        <w:t>still have the scores for all indices reported including indices with inadequate participation,</w:t>
      </w:r>
    </w:p>
    <w:p w14:paraId="0D1C513D" w14:textId="77777777" w:rsidR="00577B53" w:rsidRDefault="00C27D64">
      <w:pPr>
        <w:pStyle w:val="normal0"/>
        <w:numPr>
          <w:ilvl w:val="0"/>
          <w:numId w:val="6"/>
        </w:numPr>
        <w:spacing w:after="200"/>
        <w:ind w:hanging="360"/>
        <w:contextualSpacing/>
      </w:pPr>
      <w:r>
        <w:t>be rated as “Below Expectations: Inadequate Participation” regardless of the total score of other indices,</w:t>
      </w:r>
    </w:p>
    <w:p w14:paraId="12653FB2" w14:textId="77777777" w:rsidR="00577B53" w:rsidRDefault="00C27D64">
      <w:pPr>
        <w:pStyle w:val="normal0"/>
        <w:numPr>
          <w:ilvl w:val="0"/>
          <w:numId w:val="6"/>
        </w:numPr>
        <w:spacing w:after="200"/>
        <w:ind w:hanging="360"/>
        <w:contextualSpacing/>
      </w:pPr>
      <w:r>
        <w:t>and have an Intervention.</w:t>
      </w:r>
    </w:p>
    <w:p w14:paraId="51493B6C" w14:textId="77777777" w:rsidR="00577B53" w:rsidRDefault="00C27D64">
      <w:pPr>
        <w:pStyle w:val="normal0"/>
      </w:pPr>
      <w:r>
        <w:br w:type="page"/>
      </w:r>
    </w:p>
    <w:p w14:paraId="01797B13" w14:textId="77777777" w:rsidR="00577B53" w:rsidRDefault="00577B53">
      <w:pPr>
        <w:pStyle w:val="normal0"/>
      </w:pPr>
    </w:p>
    <w:p w14:paraId="2C733D67" w14:textId="77777777" w:rsidR="00577B53" w:rsidRDefault="00C27D64">
      <w:pPr>
        <w:pStyle w:val="Heading1"/>
        <w:contextualSpacing w:val="0"/>
      </w:pPr>
      <w:bookmarkStart w:id="26" w:name="h.5x28czbdqyzg" w:colFirst="0" w:colLast="0"/>
      <w:bookmarkEnd w:id="26"/>
      <w:r>
        <w:rPr>
          <w:b/>
        </w:rPr>
        <w:t>Interventions</w:t>
      </w:r>
    </w:p>
    <w:p w14:paraId="5C07666B" w14:textId="77777777" w:rsidR="00577B53" w:rsidRDefault="00C27D64">
      <w:pPr>
        <w:pStyle w:val="normal0"/>
        <w:spacing w:after="200"/>
      </w:pPr>
      <w:r>
        <w:t>Schools ranking in the bottom 5% of the state will be required to propose goals or targets and to plan the steps to achieve them. This will occur through a Planning Committee which will be made up of and directly involve stakeholders including students, parents, teachers, administrators, members of the state education department, and other stakeholders. Involving all affected stakeholders in the process is vital to the system's effectiveness because it will increase the probability that all ideas are heard and all resources used.</w:t>
      </w:r>
    </w:p>
    <w:p w14:paraId="22F0FF96" w14:textId="77777777" w:rsidR="00577B53" w:rsidRDefault="00C27D64">
      <w:pPr>
        <w:pStyle w:val="normal0"/>
        <w:spacing w:after="200"/>
      </w:pPr>
      <w:r>
        <w:t>The Planning Committee must pinpoint where the school needs to be, identify barriers stopping the school from getting there, and recommend actions to solve the barriers. The Committee’s evaluation of where the school needs to be must be reasonable, achievable in no less than 10 years, and not overly soft to allow the school to praise progress when little is taking place. The Committee must then identify the barriers that hinder the school’s ability to reach the goals set forth. The barriers should be grouped together if they deal with a similar issue or area, and there should be no duplicates. The members of the Committee then have to recommend the best course of action to break down the barriers. The Committee should consider the views of all stakeholders included and comments from the public during the process with the underlying goals of inclusion and transparency.</w:t>
      </w:r>
      <w:r>
        <w:rPr>
          <w:noProof/>
        </w:rPr>
        <w:drawing>
          <wp:anchor distT="57150" distB="57150" distL="57150" distR="57150" simplePos="0" relativeHeight="251658240" behindDoc="0" locked="0" layoutInCell="0" hidden="0" allowOverlap="0" wp14:anchorId="392AE165" wp14:editId="3D15B6FC">
            <wp:simplePos x="0" y="0"/>
            <wp:positionH relativeFrom="margin">
              <wp:posOffset>3095625</wp:posOffset>
            </wp:positionH>
            <wp:positionV relativeFrom="paragraph">
              <wp:posOffset>0</wp:posOffset>
            </wp:positionV>
            <wp:extent cx="2852738" cy="2852738"/>
            <wp:effectExtent l="0" t="0" r="0" b="0"/>
            <wp:wrapSquare wrapText="bothSides" distT="57150" distB="57150" distL="57150" distR="57150"/>
            <wp:docPr id="3" name="image05.jpg" descr="Steps.jpg"/>
            <wp:cNvGraphicFramePr/>
            <a:graphic xmlns:a="http://schemas.openxmlformats.org/drawingml/2006/main">
              <a:graphicData uri="http://schemas.openxmlformats.org/drawingml/2006/picture">
                <pic:pic xmlns:pic="http://schemas.openxmlformats.org/drawingml/2006/picture">
                  <pic:nvPicPr>
                    <pic:cNvPr id="0" name="image05.jpg" descr="Steps.jpg"/>
                    <pic:cNvPicPr preferRelativeResize="0"/>
                  </pic:nvPicPr>
                  <pic:blipFill>
                    <a:blip r:embed="rId9"/>
                    <a:srcRect/>
                    <a:stretch>
                      <a:fillRect/>
                    </a:stretch>
                  </pic:blipFill>
                  <pic:spPr>
                    <a:xfrm>
                      <a:off x="0" y="0"/>
                      <a:ext cx="2852738" cy="2852738"/>
                    </a:xfrm>
                    <a:prstGeom prst="rect">
                      <a:avLst/>
                    </a:prstGeom>
                    <a:ln/>
                  </pic:spPr>
                </pic:pic>
              </a:graphicData>
            </a:graphic>
          </wp:anchor>
        </w:drawing>
      </w:r>
    </w:p>
    <w:p w14:paraId="1289DE15" w14:textId="77777777" w:rsidR="00577B53" w:rsidRDefault="00C27D64">
      <w:pPr>
        <w:pStyle w:val="normal0"/>
        <w:spacing w:after="200"/>
      </w:pPr>
      <w:r>
        <w:t>The school must then begin the implementation of the Committee’s recommendations. To ensure the recommendations are being followed and implemented, all stakeholders should monitor the school’s implementation process.</w:t>
      </w:r>
    </w:p>
    <w:p w14:paraId="4E199522" w14:textId="77777777" w:rsidR="00577B53" w:rsidRDefault="00C27D64">
      <w:pPr>
        <w:pStyle w:val="normal0"/>
        <w:spacing w:after="200"/>
      </w:pPr>
      <w:r>
        <w:t xml:space="preserve">Schools which have inadequate participation will not be funded by the </w:t>
      </w:r>
    </w:p>
    <w:p w14:paraId="467B1A75" w14:textId="77777777" w:rsidR="00577B53" w:rsidRDefault="00C27D64">
      <w:pPr>
        <w:pStyle w:val="normal0"/>
        <w:spacing w:after="200"/>
      </w:pPr>
      <w:r>
        <w:rPr>
          <w:i/>
        </w:rPr>
        <w:t>This tier process is based off Florida's Guide to 8-Step Planning &amp; Problem Solving for Continuous Improvement.</w:t>
      </w:r>
      <w:r>
        <w:rPr>
          <w:vertAlign w:val="superscript"/>
        </w:rPr>
        <w:t>11</w:t>
      </w:r>
    </w:p>
    <w:p w14:paraId="7BB2E3ED" w14:textId="77777777" w:rsidR="00577B53" w:rsidRDefault="00C27D64">
      <w:pPr>
        <w:pStyle w:val="normal0"/>
      </w:pPr>
      <w:r>
        <w:br w:type="page"/>
      </w:r>
    </w:p>
    <w:p w14:paraId="18DEEABE" w14:textId="77777777" w:rsidR="00577B53" w:rsidRDefault="00577B53">
      <w:pPr>
        <w:pStyle w:val="normal0"/>
        <w:spacing w:after="200"/>
        <w:ind w:firstLine="720"/>
      </w:pPr>
    </w:p>
    <w:p w14:paraId="3AE04760" w14:textId="77777777" w:rsidR="00577B53" w:rsidRDefault="00C27D64">
      <w:pPr>
        <w:pStyle w:val="Heading1"/>
        <w:spacing w:after="200"/>
        <w:contextualSpacing w:val="0"/>
      </w:pPr>
      <w:bookmarkStart w:id="27" w:name="h.x6hc0ez3bjpq" w:colFirst="0" w:colLast="0"/>
      <w:bookmarkEnd w:id="27"/>
      <w:r>
        <w:rPr>
          <w:b/>
        </w:rPr>
        <w:t>Notes</w:t>
      </w:r>
    </w:p>
    <w:p w14:paraId="491F0B3C" w14:textId="77777777" w:rsidR="00577B53" w:rsidRDefault="00C27D64">
      <w:pPr>
        <w:pStyle w:val="normal0"/>
        <w:numPr>
          <w:ilvl w:val="0"/>
          <w:numId w:val="7"/>
        </w:numPr>
        <w:spacing w:after="200"/>
        <w:ind w:hanging="360"/>
      </w:pPr>
      <w:r>
        <w:t xml:space="preserve">Hanushek, E. A., Machin, S., &amp; Woessmann, L. (2010). </w:t>
      </w:r>
      <w:r>
        <w:rPr>
          <w:i/>
        </w:rPr>
        <w:t>Handbook of the economics of education</w:t>
      </w:r>
      <w:r>
        <w:t>, 3, 383-421. DOI: 10.1016/S0169-7218(11)03008-5</w:t>
      </w:r>
    </w:p>
    <w:p w14:paraId="46FEE313" w14:textId="77777777" w:rsidR="00577B53" w:rsidRDefault="00C27D64">
      <w:pPr>
        <w:pStyle w:val="normal0"/>
        <w:numPr>
          <w:ilvl w:val="0"/>
          <w:numId w:val="7"/>
        </w:numPr>
        <w:spacing w:after="200"/>
        <w:ind w:hanging="360"/>
      </w:pPr>
      <w:r>
        <w:t xml:space="preserve">Achieve (2013). </w:t>
      </w:r>
      <w:r>
        <w:rPr>
          <w:i/>
        </w:rPr>
        <w:t>Creating a P-20 continuum of actionable academic indicators of student readiness</w:t>
      </w:r>
      <w:r>
        <w:t>. Retrieved from http://www.achieve.org/files/StudentReadinessIndicators.pdf</w:t>
      </w:r>
    </w:p>
    <w:p w14:paraId="3B5A276B" w14:textId="77777777" w:rsidR="00577B53" w:rsidRDefault="00C27D64">
      <w:pPr>
        <w:pStyle w:val="normal0"/>
        <w:numPr>
          <w:ilvl w:val="0"/>
          <w:numId w:val="7"/>
        </w:numPr>
        <w:spacing w:after="200"/>
        <w:ind w:hanging="360"/>
      </w:pPr>
      <w:r>
        <w:t xml:space="preserve">Chingos, M. M., &amp; West, M. R. (2015). Why Annual Statewide Testing Is Critical to Judging School Quality. </w:t>
      </w:r>
      <w:r>
        <w:rPr>
          <w:i/>
        </w:rPr>
        <w:t>Brookings</w:t>
      </w:r>
      <w:r>
        <w:t>. Retrieved from http://www.brookings.edu/research/papers/2015/01/20-chalkboard-annual-testing-chingos-west</w:t>
      </w:r>
    </w:p>
    <w:p w14:paraId="0CA713B5" w14:textId="77777777" w:rsidR="00577B53" w:rsidRDefault="00C27D64">
      <w:pPr>
        <w:pStyle w:val="normal0"/>
        <w:numPr>
          <w:ilvl w:val="0"/>
          <w:numId w:val="7"/>
        </w:numPr>
        <w:spacing w:after="200"/>
        <w:ind w:hanging="360"/>
      </w:pPr>
      <w:r>
        <w:t xml:space="preserve">Carey, K. &amp; Manwaring, R. (2011). Growth models and accountability: A recipe for remaking ESSA. </w:t>
      </w:r>
      <w:r>
        <w:rPr>
          <w:i/>
        </w:rPr>
        <w:t>Education Sector</w:t>
      </w:r>
      <w:r>
        <w:t>.</w:t>
      </w:r>
    </w:p>
    <w:p w14:paraId="00ABC672" w14:textId="77777777" w:rsidR="00577B53" w:rsidRDefault="00C27D64">
      <w:pPr>
        <w:pStyle w:val="normal0"/>
        <w:numPr>
          <w:ilvl w:val="0"/>
          <w:numId w:val="7"/>
        </w:numPr>
        <w:spacing w:after="200"/>
        <w:ind w:hanging="360"/>
      </w:pPr>
      <w:r>
        <w:t>Screenshot of Colorado Department of Education’s SchoolView. Retrieved from https://www.cde.state.co.us/schoolview</w:t>
      </w:r>
    </w:p>
    <w:p w14:paraId="58E8C606" w14:textId="77777777" w:rsidR="00577B53" w:rsidRDefault="00C27D64">
      <w:pPr>
        <w:pStyle w:val="normal0"/>
        <w:numPr>
          <w:ilvl w:val="0"/>
          <w:numId w:val="7"/>
        </w:numPr>
        <w:spacing w:after="200"/>
        <w:ind w:hanging="360"/>
      </w:pPr>
      <w:r>
        <w:t xml:space="preserve">Tennessee Department of Education (2015). </w:t>
      </w:r>
      <w:r>
        <w:rPr>
          <w:i/>
        </w:rPr>
        <w:t>2015 District Accountability Overview</w:t>
      </w:r>
      <w:r>
        <w:t>. [PowerPoint slides]. Retrieved from https://www.tn.gov/assets/entities/education/attachments/acct_overview_2015.pdf</w:t>
      </w:r>
    </w:p>
    <w:p w14:paraId="7501C060" w14:textId="77777777" w:rsidR="00577B53" w:rsidRDefault="00C27D64">
      <w:pPr>
        <w:pStyle w:val="normal0"/>
        <w:numPr>
          <w:ilvl w:val="0"/>
          <w:numId w:val="7"/>
        </w:numPr>
        <w:spacing w:after="200"/>
        <w:ind w:hanging="360"/>
      </w:pPr>
      <w:r>
        <w:t xml:space="preserve">Massachusetts Department of Elementary and Secondary Education (2015). </w:t>
      </w:r>
      <w:r>
        <w:rPr>
          <w:i/>
        </w:rPr>
        <w:t>School Leader’s Guide to the 2015 Accountability Determinations</w:t>
      </w:r>
      <w:r>
        <w:t>. Retrieved from http://www.mass.gov/edu/docs/ese/accountability/annual-reports/school-leaders-guide.pdf</w:t>
      </w:r>
    </w:p>
    <w:p w14:paraId="5F3E1344" w14:textId="77777777" w:rsidR="00577B53" w:rsidRDefault="00C27D64">
      <w:pPr>
        <w:pStyle w:val="normal0"/>
        <w:numPr>
          <w:ilvl w:val="0"/>
          <w:numId w:val="7"/>
        </w:numPr>
        <w:spacing w:after="200"/>
        <w:ind w:hanging="360"/>
      </w:pPr>
      <w:r>
        <w:t xml:space="preserve">Fairman, M. &amp; Clark, E. (1982). </w:t>
      </w:r>
      <w:r>
        <w:rPr>
          <w:i/>
        </w:rPr>
        <w:t>Organizational problem solving: An organizational improvement strategy</w:t>
      </w:r>
      <w:r>
        <w:t>. Fayetteville, AK: Organizational Health Diagnostic and Development Corp.</w:t>
      </w:r>
    </w:p>
    <w:p w14:paraId="6B760339" w14:textId="77777777" w:rsidR="00577B53" w:rsidRDefault="00C27D64">
      <w:pPr>
        <w:pStyle w:val="normal0"/>
        <w:numPr>
          <w:ilvl w:val="0"/>
          <w:numId w:val="7"/>
        </w:numPr>
        <w:spacing w:after="200"/>
        <w:ind w:hanging="360"/>
      </w:pPr>
      <w:r>
        <w:t xml:space="preserve">Kytle, A. W. &amp; Bogotch, I. E. (2000). Measuring reculturing in national reform models. </w:t>
      </w:r>
      <w:r>
        <w:rPr>
          <w:i/>
        </w:rPr>
        <w:t>Journal of School Principalship</w:t>
      </w:r>
      <w:r>
        <w:t>, 10, 131–157.</w:t>
      </w:r>
    </w:p>
    <w:p w14:paraId="296694A6" w14:textId="77777777" w:rsidR="00577B53" w:rsidRDefault="00C27D64">
      <w:pPr>
        <w:pStyle w:val="normal0"/>
        <w:numPr>
          <w:ilvl w:val="0"/>
          <w:numId w:val="7"/>
        </w:numPr>
        <w:spacing w:after="200"/>
        <w:ind w:hanging="360"/>
      </w:pPr>
      <w:r>
        <w:t xml:space="preserve">Kentucky Department of Education (2012). </w:t>
      </w:r>
      <w:r>
        <w:rPr>
          <w:i/>
        </w:rPr>
        <w:t xml:space="preserve">Unbridled learning accountability model (With focus on the next-generation learners component). </w:t>
      </w:r>
      <w:r>
        <w:t>Retrieved from http://education.ky.gov/comm/UL/Documents/WHITE%20PAPER%20062612%20final.pdf</w:t>
      </w:r>
    </w:p>
    <w:p w14:paraId="5F61705B" w14:textId="77777777" w:rsidR="00577B53" w:rsidRDefault="00C27D64">
      <w:pPr>
        <w:pStyle w:val="normal0"/>
        <w:numPr>
          <w:ilvl w:val="0"/>
          <w:numId w:val="7"/>
        </w:numPr>
        <w:spacing w:after="200"/>
        <w:ind w:hanging="360"/>
      </w:pPr>
      <w:r>
        <w:t>Differentiated Accountability State System of School Improvement, Florida Administrative Code, Rule 6A-1.099811 (12 Dec. 2014).</w:t>
      </w:r>
    </w:p>
    <w:p w14:paraId="38203AE9" w14:textId="77777777" w:rsidR="00577B53" w:rsidRDefault="00577B53">
      <w:pPr>
        <w:pStyle w:val="normal0"/>
      </w:pPr>
    </w:p>
    <w:p w14:paraId="4780CD0B" w14:textId="77777777" w:rsidR="00577B53" w:rsidRDefault="00577B53">
      <w:pPr>
        <w:pStyle w:val="normal0"/>
      </w:pPr>
    </w:p>
    <w:p w14:paraId="3346F504" w14:textId="77777777" w:rsidR="00577B53" w:rsidRDefault="00C27D64">
      <w:pPr>
        <w:pStyle w:val="Heading1"/>
        <w:contextualSpacing w:val="0"/>
        <w:jc w:val="center"/>
      </w:pPr>
      <w:bookmarkStart w:id="28" w:name="h.43jqj888029y" w:colFirst="0" w:colLast="0"/>
      <w:bookmarkEnd w:id="28"/>
      <w:r>
        <w:rPr>
          <w:b/>
        </w:rPr>
        <w:lastRenderedPageBreak/>
        <w:t>About Us</w:t>
      </w:r>
    </w:p>
    <w:p w14:paraId="44326202" w14:textId="77777777" w:rsidR="00577B53" w:rsidRDefault="00C27D64">
      <w:pPr>
        <w:pStyle w:val="normal0"/>
        <w:jc w:val="both"/>
      </w:pPr>
      <w:r>
        <w:t>Consisting of over 85 self-selected middle and high school students and college undergraduates, the Prichard Committee Student Voice Team is an extension of the Prichard Committee for Academic Excellence, an independent, nonprofit organization that mobilizes citizens to improve Kentucky schools. The Student Voice Team integrates students as full partners in that work.</w:t>
      </w:r>
    </w:p>
    <w:p w14:paraId="5BE6D279" w14:textId="77777777" w:rsidR="00577B53" w:rsidRDefault="00C27D64">
      <w:pPr>
        <w:pStyle w:val="Heading2"/>
        <w:contextualSpacing w:val="0"/>
        <w:jc w:val="center"/>
      </w:pPr>
      <w:bookmarkStart w:id="29" w:name="h.69wdmi2fgwj6" w:colFirst="0" w:colLast="0"/>
      <w:bookmarkEnd w:id="29"/>
      <w:r>
        <w:rPr>
          <w:b/>
        </w:rPr>
        <w:t>ESSA Proposal Team</w:t>
      </w:r>
    </w:p>
    <w:p w14:paraId="41254D70" w14:textId="77777777" w:rsidR="00577B53" w:rsidRDefault="00577B53">
      <w:pPr>
        <w:pStyle w:val="normal0"/>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70"/>
        <w:gridCol w:w="3990"/>
      </w:tblGrid>
      <w:tr w:rsidR="00577B53" w14:paraId="3DE68797" w14:textId="77777777">
        <w:tc>
          <w:tcPr>
            <w:tcW w:w="5370" w:type="dxa"/>
            <w:tcBorders>
              <w:top w:val="nil"/>
              <w:left w:val="nil"/>
              <w:bottom w:val="nil"/>
              <w:right w:val="nil"/>
            </w:tcBorders>
            <w:tcMar>
              <w:top w:w="100" w:type="dxa"/>
              <w:left w:w="100" w:type="dxa"/>
              <w:bottom w:w="100" w:type="dxa"/>
              <w:right w:w="100" w:type="dxa"/>
            </w:tcMar>
          </w:tcPr>
          <w:p w14:paraId="4F18A797" w14:textId="77777777" w:rsidR="00577B53" w:rsidRDefault="00C27D64">
            <w:pPr>
              <w:pStyle w:val="normal0"/>
              <w:widowControl w:val="0"/>
              <w:spacing w:line="240" w:lineRule="auto"/>
              <w:ind w:left="1335"/>
            </w:pPr>
            <w:r>
              <w:t>Lydia Burns</w:t>
            </w:r>
          </w:p>
          <w:p w14:paraId="7FE226E4" w14:textId="77777777" w:rsidR="00577B53" w:rsidRDefault="00C27D64">
            <w:pPr>
              <w:pStyle w:val="normal0"/>
              <w:widowControl w:val="0"/>
              <w:spacing w:line="240" w:lineRule="auto"/>
              <w:ind w:left="1335"/>
            </w:pPr>
            <w:r>
              <w:t>Team Leader &amp; Editor</w:t>
            </w:r>
          </w:p>
          <w:p w14:paraId="21FAED45" w14:textId="77777777" w:rsidR="00577B53" w:rsidRDefault="00C27D64">
            <w:pPr>
              <w:pStyle w:val="normal0"/>
              <w:widowControl w:val="0"/>
              <w:spacing w:line="240" w:lineRule="auto"/>
              <w:ind w:left="1335"/>
            </w:pPr>
            <w:r>
              <w:t>Academic Standards Chair</w:t>
            </w:r>
          </w:p>
          <w:p w14:paraId="326D2E09" w14:textId="77777777" w:rsidR="00577B53" w:rsidRDefault="00C27D64">
            <w:pPr>
              <w:pStyle w:val="normal0"/>
              <w:widowControl w:val="0"/>
              <w:spacing w:line="240" w:lineRule="auto"/>
              <w:ind w:left="1335"/>
            </w:pPr>
            <w:r>
              <w:t>West Jessamine High School</w:t>
            </w:r>
          </w:p>
        </w:tc>
        <w:tc>
          <w:tcPr>
            <w:tcW w:w="3990" w:type="dxa"/>
            <w:tcBorders>
              <w:top w:val="nil"/>
              <w:left w:val="nil"/>
              <w:bottom w:val="nil"/>
              <w:right w:val="nil"/>
            </w:tcBorders>
            <w:tcMar>
              <w:top w:w="100" w:type="dxa"/>
              <w:left w:w="100" w:type="dxa"/>
              <w:bottom w:w="100" w:type="dxa"/>
              <w:right w:w="100" w:type="dxa"/>
            </w:tcMar>
          </w:tcPr>
          <w:p w14:paraId="218BCB11" w14:textId="77777777" w:rsidR="00577B53" w:rsidRDefault="00C27D64">
            <w:pPr>
              <w:pStyle w:val="normal0"/>
              <w:widowControl w:val="0"/>
              <w:spacing w:line="240" w:lineRule="auto"/>
            </w:pPr>
            <w:r>
              <w:t>Hiatt Allen</w:t>
            </w:r>
          </w:p>
          <w:p w14:paraId="0AF9FCB5" w14:textId="77777777" w:rsidR="00577B53" w:rsidRDefault="00C27D64">
            <w:pPr>
              <w:pStyle w:val="normal0"/>
              <w:widowControl w:val="0"/>
              <w:spacing w:line="240" w:lineRule="auto"/>
            </w:pPr>
            <w:r>
              <w:t>Co-Editor</w:t>
            </w:r>
          </w:p>
          <w:p w14:paraId="336061B4" w14:textId="77777777" w:rsidR="00577B53" w:rsidRDefault="00C27D64">
            <w:pPr>
              <w:pStyle w:val="normal0"/>
              <w:widowControl w:val="0"/>
              <w:spacing w:line="240" w:lineRule="auto"/>
            </w:pPr>
            <w:r>
              <w:t>Associate Student Director</w:t>
            </w:r>
          </w:p>
          <w:p w14:paraId="139107D7" w14:textId="77777777" w:rsidR="00577B53" w:rsidRDefault="00C27D64">
            <w:pPr>
              <w:pStyle w:val="normal0"/>
              <w:widowControl w:val="0"/>
              <w:spacing w:line="240" w:lineRule="auto"/>
            </w:pPr>
            <w:r>
              <w:t>The American University</w:t>
            </w:r>
          </w:p>
        </w:tc>
      </w:tr>
      <w:tr w:rsidR="00577B53" w14:paraId="42D6382C" w14:textId="77777777">
        <w:tc>
          <w:tcPr>
            <w:tcW w:w="5370" w:type="dxa"/>
            <w:tcBorders>
              <w:top w:val="nil"/>
              <w:left w:val="nil"/>
              <w:bottom w:val="nil"/>
              <w:right w:val="nil"/>
            </w:tcBorders>
            <w:tcMar>
              <w:top w:w="100" w:type="dxa"/>
              <w:left w:w="100" w:type="dxa"/>
              <w:bottom w:w="100" w:type="dxa"/>
              <w:right w:w="100" w:type="dxa"/>
            </w:tcMar>
          </w:tcPr>
          <w:p w14:paraId="4FEC8671" w14:textId="77777777" w:rsidR="00577B53" w:rsidRDefault="00C27D64">
            <w:pPr>
              <w:pStyle w:val="normal0"/>
              <w:widowControl w:val="0"/>
              <w:spacing w:line="240" w:lineRule="auto"/>
              <w:ind w:left="1335"/>
            </w:pPr>
            <w:r>
              <w:t>Tsage Douglas</w:t>
            </w:r>
          </w:p>
          <w:p w14:paraId="3FEE8E0B" w14:textId="77777777" w:rsidR="00577B53" w:rsidRDefault="00C27D64">
            <w:pPr>
              <w:pStyle w:val="normal0"/>
              <w:widowControl w:val="0"/>
              <w:spacing w:line="240" w:lineRule="auto"/>
              <w:ind w:left="1335"/>
            </w:pPr>
            <w:r>
              <w:t>Index 3 Researcher &amp; Writer</w:t>
            </w:r>
          </w:p>
          <w:p w14:paraId="3DCC128A" w14:textId="77777777" w:rsidR="00577B53" w:rsidRDefault="00C27D64">
            <w:pPr>
              <w:pStyle w:val="normal0"/>
              <w:widowControl w:val="0"/>
              <w:spacing w:line="240" w:lineRule="auto"/>
              <w:ind w:left="1335"/>
            </w:pPr>
            <w:r>
              <w:t>Scott County High School</w:t>
            </w:r>
          </w:p>
        </w:tc>
        <w:tc>
          <w:tcPr>
            <w:tcW w:w="3990" w:type="dxa"/>
            <w:tcBorders>
              <w:top w:val="nil"/>
              <w:left w:val="nil"/>
              <w:bottom w:val="nil"/>
              <w:right w:val="nil"/>
            </w:tcBorders>
            <w:tcMar>
              <w:top w:w="100" w:type="dxa"/>
              <w:left w:w="100" w:type="dxa"/>
              <w:bottom w:w="100" w:type="dxa"/>
              <w:right w:w="100" w:type="dxa"/>
            </w:tcMar>
          </w:tcPr>
          <w:p w14:paraId="58F00A1A" w14:textId="77777777" w:rsidR="00577B53" w:rsidRDefault="00C27D64">
            <w:pPr>
              <w:pStyle w:val="normal0"/>
              <w:widowControl w:val="0"/>
              <w:spacing w:line="240" w:lineRule="auto"/>
            </w:pPr>
            <w:r>
              <w:t>Nancy LoGuidice</w:t>
            </w:r>
          </w:p>
          <w:p w14:paraId="0BC07CB6" w14:textId="77777777" w:rsidR="00577B53" w:rsidRDefault="00C27D64">
            <w:pPr>
              <w:pStyle w:val="normal0"/>
              <w:widowControl w:val="0"/>
              <w:spacing w:line="240" w:lineRule="auto"/>
            </w:pPr>
            <w:r>
              <w:t>Index 3 Researcher &amp; Writer</w:t>
            </w:r>
          </w:p>
          <w:p w14:paraId="727D0FDB" w14:textId="77777777" w:rsidR="00577B53" w:rsidRDefault="00C27D64">
            <w:pPr>
              <w:pStyle w:val="normal0"/>
              <w:widowControl w:val="0"/>
              <w:spacing w:line="240" w:lineRule="auto"/>
            </w:pPr>
            <w:r>
              <w:t>Sacred Heart Academy</w:t>
            </w:r>
          </w:p>
        </w:tc>
      </w:tr>
      <w:tr w:rsidR="00577B53" w14:paraId="4A07437A" w14:textId="77777777">
        <w:tc>
          <w:tcPr>
            <w:tcW w:w="5370" w:type="dxa"/>
            <w:tcBorders>
              <w:top w:val="nil"/>
              <w:left w:val="nil"/>
              <w:bottom w:val="nil"/>
              <w:right w:val="nil"/>
            </w:tcBorders>
            <w:tcMar>
              <w:top w:w="100" w:type="dxa"/>
              <w:left w:w="100" w:type="dxa"/>
              <w:bottom w:w="100" w:type="dxa"/>
              <w:right w:w="100" w:type="dxa"/>
            </w:tcMar>
          </w:tcPr>
          <w:p w14:paraId="2F35D451" w14:textId="77777777" w:rsidR="00577B53" w:rsidRDefault="00C27D64">
            <w:pPr>
              <w:pStyle w:val="normal0"/>
              <w:widowControl w:val="0"/>
              <w:spacing w:line="240" w:lineRule="auto"/>
              <w:ind w:left="1335"/>
            </w:pPr>
            <w:r>
              <w:t>Morgan Rehm</w:t>
            </w:r>
          </w:p>
          <w:p w14:paraId="3F1EE338" w14:textId="77777777" w:rsidR="00577B53" w:rsidRDefault="00C27D64">
            <w:pPr>
              <w:pStyle w:val="normal0"/>
              <w:widowControl w:val="0"/>
              <w:spacing w:line="240" w:lineRule="auto"/>
              <w:ind w:left="1335"/>
            </w:pPr>
            <w:r>
              <w:t>Index 2 Researcher &amp; Writer</w:t>
            </w:r>
          </w:p>
          <w:p w14:paraId="1EFFB33D" w14:textId="77777777" w:rsidR="00577B53" w:rsidRDefault="00C27D64">
            <w:pPr>
              <w:pStyle w:val="normal0"/>
              <w:widowControl w:val="0"/>
              <w:spacing w:line="240" w:lineRule="auto"/>
              <w:ind w:left="1335"/>
            </w:pPr>
            <w:r>
              <w:t>Scott County High School</w:t>
            </w:r>
          </w:p>
        </w:tc>
        <w:tc>
          <w:tcPr>
            <w:tcW w:w="3990" w:type="dxa"/>
            <w:tcBorders>
              <w:top w:val="nil"/>
              <w:left w:val="nil"/>
              <w:bottom w:val="nil"/>
              <w:right w:val="nil"/>
            </w:tcBorders>
            <w:tcMar>
              <w:top w:w="100" w:type="dxa"/>
              <w:left w:w="100" w:type="dxa"/>
              <w:bottom w:w="100" w:type="dxa"/>
              <w:right w:w="100" w:type="dxa"/>
            </w:tcMar>
          </w:tcPr>
          <w:p w14:paraId="528BE11C" w14:textId="77777777" w:rsidR="00577B53" w:rsidRDefault="00C27D64">
            <w:pPr>
              <w:pStyle w:val="normal0"/>
              <w:widowControl w:val="0"/>
              <w:spacing w:line="240" w:lineRule="auto"/>
            </w:pPr>
            <w:r>
              <w:t>Jamie Smith</w:t>
            </w:r>
          </w:p>
          <w:p w14:paraId="5B47C09E" w14:textId="77777777" w:rsidR="00577B53" w:rsidRDefault="00C27D64">
            <w:pPr>
              <w:pStyle w:val="normal0"/>
              <w:widowControl w:val="0"/>
              <w:spacing w:line="240" w:lineRule="auto"/>
            </w:pPr>
            <w:r>
              <w:t>Index 4 Researcher &amp; Writer</w:t>
            </w:r>
          </w:p>
          <w:p w14:paraId="6AB5583E" w14:textId="77777777" w:rsidR="00577B53" w:rsidRDefault="00C27D64">
            <w:pPr>
              <w:pStyle w:val="normal0"/>
              <w:widowControl w:val="0"/>
              <w:spacing w:line="240" w:lineRule="auto"/>
            </w:pPr>
            <w:r>
              <w:t>Henry Clay High School</w:t>
            </w:r>
          </w:p>
        </w:tc>
      </w:tr>
      <w:tr w:rsidR="00577B53" w14:paraId="3FBCCDE5" w14:textId="77777777">
        <w:tc>
          <w:tcPr>
            <w:tcW w:w="5370" w:type="dxa"/>
            <w:tcBorders>
              <w:top w:val="nil"/>
              <w:left w:val="nil"/>
              <w:bottom w:val="nil"/>
              <w:right w:val="nil"/>
            </w:tcBorders>
            <w:tcMar>
              <w:top w:w="100" w:type="dxa"/>
              <w:left w:w="100" w:type="dxa"/>
              <w:bottom w:w="100" w:type="dxa"/>
              <w:right w:w="100" w:type="dxa"/>
            </w:tcMar>
          </w:tcPr>
          <w:p w14:paraId="13B469F4" w14:textId="77777777" w:rsidR="00577B53" w:rsidRDefault="00C27D64">
            <w:pPr>
              <w:pStyle w:val="normal0"/>
              <w:widowControl w:val="0"/>
              <w:spacing w:line="240" w:lineRule="auto"/>
              <w:ind w:left="1335"/>
            </w:pPr>
            <w:r>
              <w:t>Callaway Stivers</w:t>
            </w:r>
          </w:p>
          <w:p w14:paraId="0B5165D3" w14:textId="77777777" w:rsidR="00577B53" w:rsidRDefault="00C27D64">
            <w:pPr>
              <w:pStyle w:val="normal0"/>
              <w:widowControl w:val="0"/>
              <w:spacing w:line="240" w:lineRule="auto"/>
              <w:ind w:left="1335"/>
            </w:pPr>
            <w:r>
              <w:t>Ratings Researcher &amp; Writer</w:t>
            </w:r>
          </w:p>
          <w:p w14:paraId="4CBBFB43" w14:textId="77777777" w:rsidR="00577B53" w:rsidRDefault="00C27D64">
            <w:pPr>
              <w:pStyle w:val="normal0"/>
              <w:widowControl w:val="0"/>
              <w:spacing w:line="240" w:lineRule="auto"/>
              <w:ind w:left="1335"/>
            </w:pPr>
            <w:r>
              <w:t>Lafayette High School</w:t>
            </w:r>
          </w:p>
        </w:tc>
        <w:tc>
          <w:tcPr>
            <w:tcW w:w="3990" w:type="dxa"/>
            <w:tcBorders>
              <w:top w:val="nil"/>
              <w:left w:val="nil"/>
              <w:bottom w:val="nil"/>
              <w:right w:val="nil"/>
            </w:tcBorders>
            <w:tcMar>
              <w:top w:w="100" w:type="dxa"/>
              <w:left w:w="100" w:type="dxa"/>
              <w:bottom w:w="100" w:type="dxa"/>
              <w:right w:w="100" w:type="dxa"/>
            </w:tcMar>
          </w:tcPr>
          <w:p w14:paraId="62A3083D" w14:textId="77777777" w:rsidR="00577B53" w:rsidRDefault="00C27D64">
            <w:pPr>
              <w:pStyle w:val="normal0"/>
              <w:widowControl w:val="0"/>
              <w:spacing w:line="240" w:lineRule="auto"/>
            </w:pPr>
            <w:r>
              <w:t>Dustin Summers</w:t>
            </w:r>
          </w:p>
          <w:p w14:paraId="237FF044" w14:textId="77777777" w:rsidR="00577B53" w:rsidRDefault="00C27D64">
            <w:pPr>
              <w:pStyle w:val="normal0"/>
              <w:widowControl w:val="0"/>
              <w:spacing w:line="240" w:lineRule="auto"/>
            </w:pPr>
            <w:r>
              <w:t>Interventions Researcher &amp; Writer</w:t>
            </w:r>
          </w:p>
          <w:p w14:paraId="7E312DF3" w14:textId="77777777" w:rsidR="00577B53" w:rsidRDefault="00C27D64">
            <w:pPr>
              <w:pStyle w:val="normal0"/>
              <w:widowControl w:val="0"/>
              <w:spacing w:line="240" w:lineRule="auto"/>
            </w:pPr>
            <w:r>
              <w:t>George Rogers Clark High School</w:t>
            </w:r>
          </w:p>
        </w:tc>
      </w:tr>
      <w:tr w:rsidR="00577B53" w14:paraId="7CEE700F" w14:textId="77777777">
        <w:tc>
          <w:tcPr>
            <w:tcW w:w="5370" w:type="dxa"/>
            <w:tcBorders>
              <w:top w:val="nil"/>
              <w:left w:val="nil"/>
              <w:bottom w:val="nil"/>
              <w:right w:val="nil"/>
            </w:tcBorders>
            <w:tcMar>
              <w:top w:w="100" w:type="dxa"/>
              <w:left w:w="100" w:type="dxa"/>
              <w:bottom w:w="100" w:type="dxa"/>
              <w:right w:w="100" w:type="dxa"/>
            </w:tcMar>
          </w:tcPr>
          <w:p w14:paraId="4933A587" w14:textId="77777777" w:rsidR="00577B53" w:rsidRDefault="00C27D64">
            <w:pPr>
              <w:pStyle w:val="normal0"/>
              <w:widowControl w:val="0"/>
              <w:spacing w:line="240" w:lineRule="auto"/>
              <w:ind w:left="1335"/>
            </w:pPr>
            <w:r>
              <w:t>Sam Swayze</w:t>
            </w:r>
          </w:p>
          <w:p w14:paraId="5D6215FD" w14:textId="77777777" w:rsidR="00577B53" w:rsidRDefault="00C27D64">
            <w:pPr>
              <w:pStyle w:val="normal0"/>
              <w:widowControl w:val="0"/>
              <w:spacing w:line="240" w:lineRule="auto"/>
              <w:ind w:left="1335"/>
            </w:pPr>
            <w:r>
              <w:t>Ratings Researcher &amp; Writer</w:t>
            </w:r>
          </w:p>
          <w:p w14:paraId="16F284F9" w14:textId="77777777" w:rsidR="00577B53" w:rsidRDefault="00C27D64">
            <w:pPr>
              <w:pStyle w:val="normal0"/>
              <w:widowControl w:val="0"/>
              <w:spacing w:line="240" w:lineRule="auto"/>
              <w:ind w:left="1335"/>
            </w:pPr>
            <w:r>
              <w:t>Lafayette High School</w:t>
            </w:r>
          </w:p>
        </w:tc>
        <w:tc>
          <w:tcPr>
            <w:tcW w:w="3990" w:type="dxa"/>
            <w:tcBorders>
              <w:top w:val="nil"/>
              <w:left w:val="nil"/>
              <w:bottom w:val="nil"/>
              <w:right w:val="nil"/>
            </w:tcBorders>
            <w:tcMar>
              <w:top w:w="100" w:type="dxa"/>
              <w:left w:w="100" w:type="dxa"/>
              <w:bottom w:w="100" w:type="dxa"/>
              <w:right w:w="100" w:type="dxa"/>
            </w:tcMar>
          </w:tcPr>
          <w:p w14:paraId="70E3F3CF" w14:textId="77777777" w:rsidR="00577B53" w:rsidRDefault="00C27D64">
            <w:pPr>
              <w:pStyle w:val="normal0"/>
              <w:widowControl w:val="0"/>
              <w:spacing w:line="240" w:lineRule="auto"/>
            </w:pPr>
            <w:r>
              <w:t>Sahar Zadeh</w:t>
            </w:r>
          </w:p>
          <w:p w14:paraId="740D449B" w14:textId="77777777" w:rsidR="00577B53" w:rsidRDefault="00C27D64">
            <w:pPr>
              <w:pStyle w:val="normal0"/>
              <w:widowControl w:val="0"/>
              <w:spacing w:line="240" w:lineRule="auto"/>
            </w:pPr>
            <w:r>
              <w:t>Index 1 Researcher &amp; Writer</w:t>
            </w:r>
          </w:p>
          <w:p w14:paraId="3C0DEA9D" w14:textId="77777777" w:rsidR="00577B53" w:rsidRDefault="00C27D64">
            <w:pPr>
              <w:pStyle w:val="normal0"/>
              <w:widowControl w:val="0"/>
              <w:spacing w:line="240" w:lineRule="auto"/>
            </w:pPr>
            <w:r>
              <w:t>Paul Laurence Dunbar High School</w:t>
            </w:r>
          </w:p>
        </w:tc>
      </w:tr>
      <w:tr w:rsidR="00577B53" w14:paraId="3FDC0C4C" w14:textId="77777777">
        <w:trPr>
          <w:trHeight w:val="420"/>
        </w:trPr>
        <w:tc>
          <w:tcPr>
            <w:tcW w:w="9360" w:type="dxa"/>
            <w:gridSpan w:val="2"/>
            <w:tcBorders>
              <w:top w:val="nil"/>
              <w:left w:val="nil"/>
              <w:bottom w:val="nil"/>
              <w:right w:val="nil"/>
            </w:tcBorders>
            <w:tcMar>
              <w:top w:w="100" w:type="dxa"/>
              <w:left w:w="100" w:type="dxa"/>
              <w:bottom w:w="100" w:type="dxa"/>
              <w:right w:w="100" w:type="dxa"/>
            </w:tcMar>
          </w:tcPr>
          <w:p w14:paraId="624DE649" w14:textId="77777777" w:rsidR="00577B53" w:rsidRDefault="00C27D64">
            <w:pPr>
              <w:pStyle w:val="normal0"/>
              <w:widowControl w:val="0"/>
              <w:spacing w:line="240" w:lineRule="auto"/>
              <w:jc w:val="center"/>
            </w:pPr>
            <w:r>
              <w:t>Rachel Belin</w:t>
            </w:r>
          </w:p>
          <w:p w14:paraId="61885BA7" w14:textId="77777777" w:rsidR="00577B53" w:rsidRDefault="00C27D64">
            <w:pPr>
              <w:pStyle w:val="normal0"/>
              <w:widowControl w:val="0"/>
              <w:spacing w:line="240" w:lineRule="auto"/>
              <w:jc w:val="center"/>
            </w:pPr>
            <w:r>
              <w:t>Student Voice Team Director</w:t>
            </w:r>
          </w:p>
          <w:p w14:paraId="47310D67" w14:textId="77777777" w:rsidR="00577B53" w:rsidRDefault="00C27D64">
            <w:pPr>
              <w:pStyle w:val="normal0"/>
              <w:widowControl w:val="0"/>
              <w:spacing w:line="240" w:lineRule="auto"/>
              <w:jc w:val="center"/>
            </w:pPr>
            <w:r>
              <w:t>Prichard Committee for Academic Excellence</w:t>
            </w:r>
          </w:p>
        </w:tc>
      </w:tr>
    </w:tbl>
    <w:p w14:paraId="77D09E51" w14:textId="77777777" w:rsidR="00577B53" w:rsidRDefault="00577B53">
      <w:pPr>
        <w:pStyle w:val="normal0"/>
        <w:jc w:val="center"/>
      </w:pPr>
    </w:p>
    <w:p w14:paraId="19567A0C" w14:textId="77777777" w:rsidR="00577B53" w:rsidRDefault="00C27D64">
      <w:pPr>
        <w:pStyle w:val="normal0"/>
        <w:jc w:val="center"/>
      </w:pPr>
      <w:r>
        <w:rPr>
          <w:noProof/>
        </w:rPr>
        <w:drawing>
          <wp:inline distT="114300" distB="114300" distL="114300" distR="114300" wp14:anchorId="0519AC7B" wp14:editId="44FA905F">
            <wp:extent cx="3757613" cy="704552"/>
            <wp:effectExtent l="0" t="0" r="0" b="0"/>
            <wp:docPr id="2" name="image04.png" descr="Horizontal Color Transparent.png"/>
            <wp:cNvGraphicFramePr/>
            <a:graphic xmlns:a="http://schemas.openxmlformats.org/drawingml/2006/main">
              <a:graphicData uri="http://schemas.openxmlformats.org/drawingml/2006/picture">
                <pic:pic xmlns:pic="http://schemas.openxmlformats.org/drawingml/2006/picture">
                  <pic:nvPicPr>
                    <pic:cNvPr id="0" name="image04.png" descr="Horizontal Color Transparent.png"/>
                    <pic:cNvPicPr preferRelativeResize="0"/>
                  </pic:nvPicPr>
                  <pic:blipFill>
                    <a:blip r:embed="rId10"/>
                    <a:srcRect/>
                    <a:stretch>
                      <a:fillRect/>
                    </a:stretch>
                  </pic:blipFill>
                  <pic:spPr>
                    <a:xfrm>
                      <a:off x="0" y="0"/>
                      <a:ext cx="3757613" cy="704552"/>
                    </a:xfrm>
                    <a:prstGeom prst="rect">
                      <a:avLst/>
                    </a:prstGeom>
                    <a:ln/>
                  </pic:spPr>
                </pic:pic>
              </a:graphicData>
            </a:graphic>
          </wp:inline>
        </w:drawing>
      </w:r>
    </w:p>
    <w:p w14:paraId="2594D223" w14:textId="77777777" w:rsidR="00577B53" w:rsidRDefault="00577B53">
      <w:pPr>
        <w:pStyle w:val="normal0"/>
        <w:jc w:val="center"/>
      </w:pPr>
    </w:p>
    <w:p w14:paraId="594E4FE5" w14:textId="77777777" w:rsidR="00577B53" w:rsidRDefault="00C27D64">
      <w:pPr>
        <w:pStyle w:val="normal0"/>
        <w:jc w:val="center"/>
      </w:pPr>
      <w:r>
        <w:t>271 West Short St. Suite 202 | Lexington, KY 40507</w:t>
      </w:r>
    </w:p>
    <w:p w14:paraId="2C5BF376" w14:textId="77777777" w:rsidR="00577B53" w:rsidRDefault="00C27D64">
      <w:pPr>
        <w:pStyle w:val="normal0"/>
        <w:jc w:val="center"/>
      </w:pPr>
      <w:r>
        <w:t>(859) 233-9849 x233 | studentvoiceteam@prichardcommittee.org</w:t>
      </w:r>
    </w:p>
    <w:p w14:paraId="5E97C597" w14:textId="77777777" w:rsidR="00577B53" w:rsidRDefault="00C27D64">
      <w:pPr>
        <w:pStyle w:val="normal0"/>
        <w:jc w:val="center"/>
      </w:pPr>
      <w:r>
        <w:t>prichardcommittee.org/studentvoiceteam</w:t>
      </w:r>
    </w:p>
    <w:p w14:paraId="7F8415E2" w14:textId="77777777" w:rsidR="00577B53" w:rsidRDefault="00C27D64">
      <w:pPr>
        <w:pStyle w:val="normal0"/>
        <w:jc w:val="center"/>
      </w:pPr>
      <w:r>
        <w:t>@pcstuvoiceteam</w:t>
      </w:r>
    </w:p>
    <w:sectPr w:rsidR="00577B53">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4662E" w14:textId="77777777" w:rsidR="0083394E" w:rsidRDefault="00C27D64">
      <w:pPr>
        <w:spacing w:line="240" w:lineRule="auto"/>
      </w:pPr>
      <w:r>
        <w:separator/>
      </w:r>
    </w:p>
  </w:endnote>
  <w:endnote w:type="continuationSeparator" w:id="0">
    <w:p w14:paraId="0B8983EC" w14:textId="77777777" w:rsidR="0083394E" w:rsidRDefault="00C27D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DEF38" w14:textId="77777777" w:rsidR="00577B53" w:rsidRDefault="00C27D64">
    <w:pPr>
      <w:pStyle w:val="normal0"/>
      <w:jc w:val="center"/>
    </w:pPr>
    <w:r>
      <w:fldChar w:fldCharType="begin"/>
    </w:r>
    <w:r>
      <w:instrText>PAGE</w:instrText>
    </w:r>
    <w:r>
      <w:fldChar w:fldCharType="separate"/>
    </w:r>
    <w:r w:rsidR="005C3100">
      <w:rPr>
        <w:noProof/>
      </w:rPr>
      <w:t>13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1745C" w14:textId="77777777" w:rsidR="0083394E" w:rsidRDefault="00C27D64">
      <w:pPr>
        <w:spacing w:line="240" w:lineRule="auto"/>
      </w:pPr>
      <w:r>
        <w:separator/>
      </w:r>
    </w:p>
  </w:footnote>
  <w:footnote w:type="continuationSeparator" w:id="0">
    <w:p w14:paraId="6393B517" w14:textId="77777777" w:rsidR="0083394E" w:rsidRDefault="00C27D64">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E02CA"/>
    <w:multiLevelType w:val="multilevel"/>
    <w:tmpl w:val="53FE96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A8E44FC"/>
    <w:multiLevelType w:val="multilevel"/>
    <w:tmpl w:val="5C4E7B2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2B9D6FC8"/>
    <w:multiLevelType w:val="multilevel"/>
    <w:tmpl w:val="5192BB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31AF45D9"/>
    <w:multiLevelType w:val="multilevel"/>
    <w:tmpl w:val="CD2251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35EF416B"/>
    <w:multiLevelType w:val="multilevel"/>
    <w:tmpl w:val="BDDACDB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402A4CCF"/>
    <w:multiLevelType w:val="multilevel"/>
    <w:tmpl w:val="AFEEC6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643658A"/>
    <w:multiLevelType w:val="multilevel"/>
    <w:tmpl w:val="549AEA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6"/>
  </w:num>
  <w:num w:numId="3">
    <w:abstractNumId w:val="0"/>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77B53"/>
    <w:rsid w:val="0038266E"/>
    <w:rsid w:val="00577B53"/>
    <w:rsid w:val="005C3100"/>
    <w:rsid w:val="00640866"/>
    <w:rsid w:val="0083394E"/>
    <w:rsid w:val="00B26E34"/>
    <w:rsid w:val="00C27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BB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8266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8266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8266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8266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2562</Words>
  <Characters>14222</Characters>
  <Application>Microsoft Macintosh Word</Application>
  <DocSecurity>0</DocSecurity>
  <Lines>203</Lines>
  <Paragraphs>41</Paragraphs>
  <ScaleCrop>false</ScaleCrop>
  <Company>West Jessamine</Company>
  <LinksUpToDate>false</LinksUpToDate>
  <CharactersWithSpaces>16743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Brandon Wright</cp:lastModifiedBy>
  <cp:revision>2</cp:revision>
  <dcterms:created xsi:type="dcterms:W3CDTF">2016-01-26T20:02:00Z</dcterms:created>
  <dcterms:modified xsi:type="dcterms:W3CDTF">2016-01-26T20:02:00Z</dcterms:modified>
</cp:coreProperties>
</file>